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34" w:rsidRDefault="00332B85">
      <w:pPr>
        <w:spacing w:before="20"/>
        <w:ind w:left="216"/>
        <w:rPr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330835</wp:posOffset>
                </wp:positionV>
                <wp:extent cx="70789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8980" cy="1270"/>
                        </a:xfrm>
                        <a:custGeom>
                          <a:avLst/>
                          <a:gdLst>
                            <a:gd name="T0" fmla="+- 0 547 547"/>
                            <a:gd name="T1" fmla="*/ T0 w 11148"/>
                            <a:gd name="T2" fmla="+- 0 11695 547"/>
                            <a:gd name="T3" fmla="*/ T2 w 11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48">
                              <a:moveTo>
                                <a:pt x="0" y="0"/>
                              </a:moveTo>
                              <a:lnTo>
                                <a:pt x="1114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51F0" id="Freeform 6" o:spid="_x0000_s1026" style="position:absolute;margin-left:27.35pt;margin-top:26.05pt;width:557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" path="m,l11148,e" filled="f" strokeweight=".96pt">
                <v:path arrowok="t" o:connecttype="custom" o:connectlocs="0,0;7078980,0" o:connectangles="0,0"/>
                <w10:wrap type="topAndBottom" anchorx="page"/>
              </v:shape>
            </w:pict>
          </mc:Fallback>
        </mc:AlternateContent>
      </w:r>
      <w:r>
        <w:rPr>
          <w:rFonts w:ascii="Franklin Gothic Medium Cond" w:hAnsi="Franklin Gothic Medium Cond"/>
          <w:sz w:val="24"/>
        </w:rPr>
        <w:t xml:space="preserve"> Office of Human Resources – </w:t>
      </w:r>
      <w:r>
        <w:rPr>
          <w:b/>
          <w:sz w:val="32"/>
        </w:rPr>
        <w:t>Affordable Care Act (ACA) Quick Facts</w:t>
      </w:r>
    </w:p>
    <w:p w:rsidR="00DD5434" w:rsidRDefault="00DD5434">
      <w:pPr>
        <w:pStyle w:val="BodyText"/>
        <w:spacing w:before="8"/>
        <w:ind w:firstLine="0"/>
        <w:rPr>
          <w:b/>
          <w:sz w:val="5"/>
        </w:rPr>
      </w:pPr>
    </w:p>
    <w:p w:rsidR="00DD5434" w:rsidRDefault="00DD5434">
      <w:pPr>
        <w:rPr>
          <w:sz w:val="5"/>
        </w:rPr>
        <w:sectPr w:rsidR="00DD5434">
          <w:type w:val="continuous"/>
          <w:pgSz w:w="12240" w:h="15840"/>
          <w:pgMar w:top="820" w:right="440" w:bottom="280" w:left="360" w:header="720" w:footer="720" w:gutter="0"/>
          <w:cols w:space="720"/>
        </w:sectPr>
      </w:pPr>
    </w:p>
    <w:p w:rsidR="00DD5434" w:rsidRDefault="00332B85">
      <w:pPr>
        <w:spacing w:before="21"/>
        <w:ind w:left="215"/>
        <w:rPr>
          <w:i/>
        </w:rPr>
      </w:pPr>
      <w:r>
        <w:rPr>
          <w:b/>
          <w:i/>
          <w:sz w:val="26"/>
        </w:rPr>
        <w:t xml:space="preserve">General Rule: </w:t>
      </w:r>
      <w:r>
        <w:rPr>
          <w:i/>
        </w:rPr>
        <w:t>If an employee was at least .75 FTE over the past 12 months, they are most likely considered full- time for ACA purposes (contact Employee Benefits to</w:t>
      </w:r>
    </w:p>
    <w:p w:rsidR="00DD5434" w:rsidRDefault="00332B85">
      <w:pPr>
        <w:spacing w:line="266" w:lineRule="exact"/>
        <w:ind w:left="215"/>
        <w:rPr>
          <w:i/>
        </w:rPr>
      </w:pPr>
      <w:r>
        <w:rPr>
          <w:i/>
        </w:rPr>
        <w:t>verify an employee’s ACA status)</w:t>
      </w:r>
    </w:p>
    <w:p w:rsidR="00DD5434" w:rsidRDefault="00DD5434">
      <w:pPr>
        <w:pStyle w:val="BodyText"/>
        <w:spacing w:before="5"/>
        <w:ind w:firstLine="0"/>
        <w:rPr>
          <w:i/>
        </w:rPr>
      </w:pPr>
    </w:p>
    <w:p w:rsidR="00DD5434" w:rsidRDefault="00332B85">
      <w:pPr>
        <w:spacing w:before="1" w:line="237" w:lineRule="auto"/>
        <w:ind w:left="215" w:right="24"/>
      </w:pPr>
      <w:r>
        <w:rPr>
          <w:b/>
          <w:sz w:val="26"/>
        </w:rPr>
        <w:t xml:space="preserve">PEBB Benefits Eligibility: </w:t>
      </w:r>
      <w:r>
        <w:t>Classified or Unclassified in a benefits eligible position at .50+ FTE for at least 90 days.</w:t>
      </w:r>
    </w:p>
    <w:p w:rsidR="00DD5434" w:rsidRDefault="00DD5434">
      <w:pPr>
        <w:pStyle w:val="BodyText"/>
        <w:spacing w:before="2"/>
        <w:ind w:firstLine="0"/>
        <w:rPr>
          <w:sz w:val="24"/>
        </w:rPr>
      </w:pPr>
    </w:p>
    <w:p w:rsidR="00DD5434" w:rsidRDefault="00332B85">
      <w:pPr>
        <w:ind w:left="216"/>
        <w:rPr>
          <w:i/>
        </w:rPr>
      </w:pPr>
      <w:r>
        <w:rPr>
          <w:b/>
          <w:sz w:val="26"/>
        </w:rPr>
        <w:t xml:space="preserve">Employees subject to the ACA: </w:t>
      </w:r>
      <w:r>
        <w:t>All employees (hourly or salaried) are subject to the ACA – Classified,</w:t>
      </w:r>
      <w:r>
        <w:t xml:space="preserve"> Unclassified, temporary, seasonal, undergraduate and graduate students. </w:t>
      </w:r>
      <w:r>
        <w:rPr>
          <w:b/>
          <w:i/>
        </w:rPr>
        <w:t xml:space="preserve">Exception </w:t>
      </w:r>
      <w:r>
        <w:rPr>
          <w:i/>
        </w:rPr>
        <w:t>– Federal work-study hours are not counted for ACA purposes.</w:t>
      </w:r>
    </w:p>
    <w:p w:rsidR="00DD5434" w:rsidRDefault="00DD5434">
      <w:pPr>
        <w:pStyle w:val="BodyText"/>
        <w:spacing w:before="2"/>
        <w:ind w:firstLine="0"/>
        <w:rPr>
          <w:i/>
        </w:rPr>
      </w:pPr>
    </w:p>
    <w:p w:rsidR="00DD5434" w:rsidRDefault="00332B85">
      <w:pPr>
        <w:pStyle w:val="Heading1"/>
      </w:pPr>
      <w:r>
        <w:t>Measurement Period that applies: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spacing w:line="279" w:lineRule="exact"/>
        <w:ind w:hanging="181"/>
      </w:pPr>
      <w:r>
        <w:rPr>
          <w:b/>
          <w:i/>
        </w:rPr>
        <w:t xml:space="preserve">Standard – </w:t>
      </w:r>
      <w:r>
        <w:t>October 1 – September</w:t>
      </w:r>
      <w:r>
        <w:rPr>
          <w:spacing w:val="-7"/>
        </w:rPr>
        <w:t xml:space="preserve"> </w:t>
      </w:r>
      <w:r>
        <w:t>30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ind w:left="575" w:right="172"/>
      </w:pPr>
      <w:r>
        <w:rPr>
          <w:b/>
          <w:i/>
        </w:rPr>
        <w:t xml:space="preserve">Initial </w:t>
      </w:r>
      <w:r>
        <w:rPr>
          <w:b/>
        </w:rPr>
        <w:t xml:space="preserve">– </w:t>
      </w:r>
      <w:r>
        <w:t xml:space="preserve">A 12 month period beginning the </w:t>
      </w:r>
      <w:r>
        <w:t>first of the month after hire or rehire (employee had a break greater than 26</w:t>
      </w:r>
      <w:r>
        <w:rPr>
          <w:spacing w:val="-2"/>
        </w:rPr>
        <w:t xml:space="preserve"> </w:t>
      </w:r>
      <w:r>
        <w:t>weeks)</w:t>
      </w:r>
    </w:p>
    <w:p w:rsidR="00DD5434" w:rsidRDefault="00DD5434">
      <w:pPr>
        <w:pStyle w:val="BodyText"/>
        <w:spacing w:before="1"/>
        <w:ind w:firstLine="0"/>
        <w:rPr>
          <w:sz w:val="24"/>
        </w:rPr>
      </w:pPr>
    </w:p>
    <w:p w:rsidR="00DD5434" w:rsidRDefault="00332B85">
      <w:pPr>
        <w:pStyle w:val="BodyText"/>
        <w:ind w:left="215" w:right="83" w:firstLine="0"/>
      </w:pPr>
      <w:r>
        <w:rPr>
          <w:b/>
          <w:sz w:val="26"/>
        </w:rPr>
        <w:t xml:space="preserve">Stability Period: </w:t>
      </w:r>
      <w:r>
        <w:t>The 12 month period of time following the measurement period in which benefits may be guaranteed regardless of hours worked if the employee was determined to be ACA Full-time and remains employed. A leave of absence is considered continued employment.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ind w:left="575" w:right="779"/>
        <w:jc w:val="both"/>
      </w:pPr>
      <w:r>
        <w:rPr>
          <w:b/>
          <w:i/>
        </w:rPr>
        <w:t>Stan</w:t>
      </w:r>
      <w:r>
        <w:rPr>
          <w:b/>
          <w:i/>
        </w:rPr>
        <w:t xml:space="preserve">dard Stability Period </w:t>
      </w:r>
      <w:r>
        <w:t>is the calendar year following the Standard Measurement</w:t>
      </w:r>
      <w:r>
        <w:rPr>
          <w:spacing w:val="-9"/>
        </w:rPr>
        <w:t xml:space="preserve"> </w:t>
      </w:r>
      <w:r>
        <w:t>Period.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ind w:left="575" w:right="664"/>
        <w:jc w:val="both"/>
      </w:pPr>
      <w:r>
        <w:rPr>
          <w:b/>
          <w:i/>
        </w:rPr>
        <w:t xml:space="preserve">Initial Stability Period </w:t>
      </w:r>
      <w:r>
        <w:t>– is unique to each new employee and is the 12 month period after the employee’s Initial Measurement</w:t>
      </w:r>
      <w:r>
        <w:rPr>
          <w:spacing w:val="-5"/>
        </w:rPr>
        <w:t xml:space="preserve"> </w:t>
      </w:r>
      <w:r>
        <w:t>Period.</w:t>
      </w:r>
    </w:p>
    <w:p w:rsidR="00DD5434" w:rsidRDefault="00DD5434">
      <w:pPr>
        <w:pStyle w:val="BodyText"/>
        <w:ind w:firstLine="0"/>
        <w:rPr>
          <w:sz w:val="24"/>
        </w:rPr>
      </w:pPr>
    </w:p>
    <w:p w:rsidR="00DD5434" w:rsidRDefault="00332B85">
      <w:pPr>
        <w:pStyle w:val="Heading1"/>
      </w:pPr>
      <w:r>
        <w:t>ACA Full-time Employee: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ind w:right="329"/>
      </w:pPr>
      <w:r>
        <w:rPr>
          <w:b/>
          <w:i/>
        </w:rPr>
        <w:t>At the time</w:t>
      </w:r>
      <w:r>
        <w:rPr>
          <w:b/>
          <w:i/>
        </w:rPr>
        <w:t xml:space="preserve"> of hire </w:t>
      </w:r>
      <w:r>
        <w:t>– Is “reasonably expected” to work an average of least 30 hours per week or 130 hours per month, even if only for a limited</w:t>
      </w:r>
      <w:r>
        <w:rPr>
          <w:spacing w:val="-14"/>
        </w:rPr>
        <w:t xml:space="preserve"> </w:t>
      </w:r>
      <w:r>
        <w:t>time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ind w:right="146"/>
      </w:pPr>
      <w:r>
        <w:rPr>
          <w:b/>
          <w:i/>
        </w:rPr>
        <w:t xml:space="preserve">Look Back Period </w:t>
      </w:r>
      <w:r>
        <w:t>– Review of hours during the applicable Measurement Period (Standard or Initial) determined the employee worked an average of 130 hours per</w:t>
      </w:r>
      <w:r>
        <w:rPr>
          <w:spacing w:val="-3"/>
        </w:rPr>
        <w:t xml:space="preserve"> </w:t>
      </w:r>
      <w:r>
        <w:t>month.</w:t>
      </w:r>
    </w:p>
    <w:p w:rsidR="00DD5434" w:rsidRDefault="00DD5434">
      <w:pPr>
        <w:pStyle w:val="BodyText"/>
        <w:spacing w:before="4"/>
        <w:ind w:firstLine="0"/>
        <w:rPr>
          <w:sz w:val="24"/>
        </w:rPr>
      </w:pPr>
    </w:p>
    <w:p w:rsidR="00DD5434" w:rsidRDefault="00332B85">
      <w:pPr>
        <w:pStyle w:val="BodyText"/>
        <w:ind w:left="216" w:right="19" w:firstLine="0"/>
      </w:pPr>
      <w:r>
        <w:rPr>
          <w:b/>
          <w:sz w:val="26"/>
        </w:rPr>
        <w:t xml:space="preserve">ACA Variable Hour Employee: </w:t>
      </w:r>
      <w:r>
        <w:t>At the time of hire it cannot be reasonably determined if the employee will work</w:t>
      </w:r>
      <w:r>
        <w:t xml:space="preserve"> an average of 30+ hours per week or 130+ hours per month. The employee’s hours are expected to fluctuate; hours may at certain times exceed 30 hours per week or 130 hours per month, but not on a regular or ongoing basis. Example: Temporary Service (TS) em</w:t>
      </w:r>
      <w:r>
        <w:t>ployee.</w:t>
      </w:r>
    </w:p>
    <w:p w:rsidR="00DD5434" w:rsidRDefault="00332B85">
      <w:pPr>
        <w:pStyle w:val="BodyText"/>
        <w:spacing w:before="3"/>
        <w:ind w:firstLine="0"/>
        <w:rPr>
          <w:sz w:val="6"/>
        </w:rPr>
      </w:pPr>
      <w:r>
        <w:br w:type="column"/>
      </w:r>
    </w:p>
    <w:p w:rsidR="00DD5434" w:rsidRDefault="00332B85">
      <w:pPr>
        <w:pStyle w:val="BodyText"/>
        <w:ind w:left="328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129491" cy="2346959"/>
            <wp:effectExtent l="0" t="0" r="0" b="0"/>
            <wp:docPr id="1" name="image1.png" descr="https://encrypted-tbn2.gstatic.com/images?q=tbn:ANd9GcRVnSiRiVw5OEXtv2aocBwHGeITJckn3ma6xmPO48T5EpmTCc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491" cy="234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434" w:rsidRDefault="00DD5434">
      <w:pPr>
        <w:pStyle w:val="BodyText"/>
        <w:ind w:firstLine="0"/>
        <w:rPr>
          <w:sz w:val="26"/>
        </w:rPr>
      </w:pPr>
    </w:p>
    <w:p w:rsidR="00DD5434" w:rsidRDefault="00DD5434">
      <w:pPr>
        <w:pStyle w:val="BodyText"/>
        <w:spacing w:before="9"/>
        <w:ind w:firstLine="0"/>
        <w:rPr>
          <w:sz w:val="26"/>
        </w:rPr>
      </w:pPr>
    </w:p>
    <w:p w:rsidR="00DD5434" w:rsidRDefault="00332B85">
      <w:pPr>
        <w:pStyle w:val="Heading1"/>
        <w:spacing w:line="240" w:lineRule="auto"/>
        <w:ind w:right="669"/>
      </w:pPr>
      <w:r>
        <w:t>Establishing FTE for Salaried Term-by-Term Faculty: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7"/>
        </w:tabs>
        <w:ind w:right="324"/>
      </w:pPr>
      <w:r>
        <w:rPr>
          <w:b/>
        </w:rPr>
        <w:t xml:space="preserve">Option 1: </w:t>
      </w:r>
      <w:r>
        <w:t>Account for classroom, preparation</w:t>
      </w:r>
      <w:r>
        <w:rPr>
          <w:spacing w:val="-19"/>
        </w:rPr>
        <w:t xml:space="preserve"> </w:t>
      </w:r>
      <w:r>
        <w:t>time, and other duties using reasonable</w:t>
      </w:r>
      <w:r>
        <w:rPr>
          <w:spacing w:val="-7"/>
        </w:rPr>
        <w:t xml:space="preserve"> </w:t>
      </w:r>
      <w:r>
        <w:t>methods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7"/>
        </w:tabs>
        <w:spacing w:line="273" w:lineRule="exact"/>
        <w:ind w:hanging="181"/>
        <w:rPr>
          <w:rFonts w:ascii="Courier New" w:hAnsi="Courier New"/>
        </w:rPr>
      </w:pPr>
      <w:r>
        <w:t>May vary by</w:t>
      </w:r>
      <w:r>
        <w:rPr>
          <w:spacing w:val="-10"/>
        </w:rPr>
        <w:t xml:space="preserve"> </w:t>
      </w:r>
      <w:r>
        <w:t>discipline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7"/>
        </w:tabs>
        <w:spacing w:line="293" w:lineRule="exact"/>
        <w:ind w:hanging="181"/>
        <w:rPr>
          <w:rFonts w:ascii="Courier New" w:hAnsi="Courier New"/>
          <w:b/>
          <w:sz w:val="24"/>
        </w:rPr>
      </w:pPr>
      <w:r>
        <w:rPr>
          <w:b/>
          <w:sz w:val="24"/>
        </w:rPr>
        <w:t>Must 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defendable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7"/>
        </w:tabs>
        <w:spacing w:line="235" w:lineRule="auto"/>
        <w:ind w:right="879"/>
        <w:rPr>
          <w:rFonts w:ascii="Courier New" w:hAnsi="Courier New"/>
        </w:rPr>
      </w:pPr>
      <w:r>
        <w:t>Should be consistent for discipline and be transparent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7"/>
        </w:tabs>
        <w:ind w:hanging="181"/>
      </w:pPr>
      <w:r>
        <w:rPr>
          <w:b/>
        </w:rPr>
        <w:t xml:space="preserve">Option 2: </w:t>
      </w:r>
      <w:r>
        <w:t>Use the IRS Safe Harbor</w:t>
      </w:r>
      <w:r>
        <w:rPr>
          <w:spacing w:val="-4"/>
        </w:rPr>
        <w:t xml:space="preserve"> </w:t>
      </w:r>
      <w:r>
        <w:t>rule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7"/>
        </w:tabs>
        <w:spacing w:line="271" w:lineRule="exact"/>
        <w:ind w:hanging="181"/>
        <w:rPr>
          <w:rFonts w:ascii="Courier New" w:hAnsi="Courier New"/>
        </w:rPr>
      </w:pPr>
      <w:r>
        <w:t>2.25 hours for each hour in classroom,</w:t>
      </w:r>
      <w:r>
        <w:rPr>
          <w:spacing w:val="-12"/>
        </w:rPr>
        <w:t xml:space="preserve"> </w:t>
      </w:r>
      <w:r>
        <w:t>plus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7"/>
        </w:tabs>
        <w:spacing w:line="235" w:lineRule="auto"/>
        <w:ind w:right="307"/>
        <w:rPr>
          <w:rFonts w:ascii="Courier New" w:hAnsi="Courier New"/>
        </w:rPr>
      </w:pPr>
      <w:r>
        <w:t>1 hour for each hour of required service outside the classroom (e.g., office hours,</w:t>
      </w:r>
      <w:r>
        <w:rPr>
          <w:spacing w:val="-11"/>
        </w:rPr>
        <w:t xml:space="preserve"> </w:t>
      </w:r>
      <w:r>
        <w:t>meetings)</w:t>
      </w:r>
    </w:p>
    <w:p w:rsidR="00DD5434" w:rsidRDefault="00DD5434">
      <w:pPr>
        <w:pStyle w:val="BodyText"/>
        <w:spacing w:before="11"/>
        <w:ind w:firstLine="0"/>
        <w:rPr>
          <w:sz w:val="23"/>
        </w:rPr>
      </w:pPr>
    </w:p>
    <w:p w:rsidR="00DD5434" w:rsidRDefault="00332B85">
      <w:pPr>
        <w:ind w:left="216"/>
      </w:pPr>
      <w:r>
        <w:rPr>
          <w:b/>
          <w:sz w:val="26"/>
        </w:rPr>
        <w:t xml:space="preserve">Establishing FTE for Hourly Employees </w:t>
      </w:r>
      <w:r>
        <w:rPr>
          <w:b/>
          <w:sz w:val="24"/>
        </w:rPr>
        <w:t xml:space="preserve">(classified or unclassified): </w:t>
      </w:r>
      <w:r>
        <w:t>Should always take into account the employee’s expected work hours.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7"/>
        </w:tabs>
        <w:ind w:right="294"/>
      </w:pPr>
      <w:r>
        <w:t xml:space="preserve">Set FTE at expected work hours </w:t>
      </w:r>
      <w:r>
        <w:rPr>
          <w:i/>
        </w:rPr>
        <w:t>(Don’t set FTE at .49 if employee will be working .50 or</w:t>
      </w:r>
      <w:r>
        <w:rPr>
          <w:i/>
          <w:spacing w:val="-9"/>
        </w:rPr>
        <w:t xml:space="preserve"> </w:t>
      </w:r>
      <w:r>
        <w:rPr>
          <w:i/>
        </w:rPr>
        <w:t>above)</w:t>
      </w:r>
      <w:r>
        <w:t>.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7"/>
        </w:tabs>
        <w:ind w:right="921"/>
      </w:pPr>
      <w:r>
        <w:t>Benefits are to be offered per PEBB rules and regulations.</w:t>
      </w:r>
    </w:p>
    <w:p w:rsidR="00DD5434" w:rsidRDefault="00DD5434">
      <w:pPr>
        <w:pStyle w:val="BodyText"/>
        <w:spacing w:before="4"/>
        <w:ind w:firstLine="0"/>
        <w:rPr>
          <w:sz w:val="24"/>
        </w:rPr>
      </w:pPr>
    </w:p>
    <w:p w:rsidR="00DD5434" w:rsidRDefault="00332B85">
      <w:pPr>
        <w:spacing w:line="237" w:lineRule="auto"/>
        <w:ind w:left="216"/>
      </w:pPr>
      <w:r>
        <w:rPr>
          <w:b/>
          <w:sz w:val="26"/>
        </w:rPr>
        <w:t xml:space="preserve">ACA Hiring Intent – New Employees: </w:t>
      </w:r>
      <w:r>
        <w:t>Hiring intent determines the ACA status for new employee. Consider: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7"/>
        </w:tabs>
        <w:spacing w:before="1"/>
        <w:ind w:right="209"/>
      </w:pPr>
      <w:r>
        <w:t>Is the employee expected to work 30 hours per week (130 hours per</w:t>
      </w:r>
      <w:r>
        <w:rPr>
          <w:spacing w:val="-4"/>
        </w:rPr>
        <w:t xml:space="preserve"> </w:t>
      </w:r>
      <w:r>
        <w:t>month)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7"/>
        </w:tabs>
        <w:spacing w:before="1"/>
        <w:ind w:right="288"/>
        <w:rPr>
          <w:i/>
        </w:rPr>
      </w:pPr>
      <w:r>
        <w:t xml:space="preserve">How was the position advertised, communicated, and/or documented </w:t>
      </w:r>
      <w:r>
        <w:rPr>
          <w:i/>
        </w:rPr>
        <w:t>(e.g., was it a</w:t>
      </w:r>
      <w:r>
        <w:rPr>
          <w:i/>
        </w:rPr>
        <w:t>dvertised one way and then communicated</w:t>
      </w:r>
      <w:r>
        <w:rPr>
          <w:i/>
          <w:spacing w:val="-2"/>
        </w:rPr>
        <w:t xml:space="preserve"> </w:t>
      </w:r>
      <w:r>
        <w:rPr>
          <w:i/>
        </w:rPr>
        <w:t>differently?)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7"/>
        </w:tabs>
        <w:ind w:right="262"/>
      </w:pPr>
      <w:r>
        <w:t>Is the employee replacing a full-time employee (e.g., full-time employee out on FMLA</w:t>
      </w:r>
      <w:r>
        <w:rPr>
          <w:spacing w:val="-10"/>
        </w:rPr>
        <w:t xml:space="preserve"> </w:t>
      </w:r>
      <w:r>
        <w:t>leave)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7"/>
        </w:tabs>
        <w:ind w:right="238"/>
      </w:pPr>
      <w:r>
        <w:t>CANNOT take into account a future termination date (e.g., hiring an employee for only 5</w:t>
      </w:r>
      <w:r>
        <w:rPr>
          <w:spacing w:val="-9"/>
        </w:rPr>
        <w:t xml:space="preserve"> </w:t>
      </w:r>
      <w:r>
        <w:t>months)</w:t>
      </w:r>
    </w:p>
    <w:p w:rsidR="00DD5434" w:rsidRDefault="00DD5434">
      <w:pPr>
        <w:sectPr w:rsidR="00DD5434">
          <w:type w:val="continuous"/>
          <w:pgSz w:w="12240" w:h="15840"/>
          <w:pgMar w:top="820" w:right="440" w:bottom="280" w:left="360" w:header="720" w:footer="720" w:gutter="0"/>
          <w:cols w:num="2" w:space="720" w:equalWidth="0">
            <w:col w:w="5435" w:space="470"/>
            <w:col w:w="5535"/>
          </w:cols>
        </w:sectPr>
      </w:pPr>
    </w:p>
    <w:p w:rsidR="00DD5434" w:rsidRDefault="00332B85">
      <w:pPr>
        <w:pStyle w:val="BodyText"/>
        <w:spacing w:before="35"/>
        <w:ind w:left="216" w:right="95" w:firstLine="0"/>
      </w:pPr>
      <w:r>
        <w:rPr>
          <w:b/>
          <w:sz w:val="26"/>
        </w:rPr>
        <w:lastRenderedPageBreak/>
        <w:t xml:space="preserve">Returning Retiree: </w:t>
      </w:r>
      <w:r>
        <w:t>An employee returning in a post- retirement position (TS or AW) will be eligible for health insurance during the current stability period, if they met the ACA average hours during the measurement period. Eligibili</w:t>
      </w:r>
      <w:r>
        <w:t>ty for insurance is regardless of hours worked and/or FTE (AW at .10 FTE; TS working 5 hours per week).</w:t>
      </w:r>
    </w:p>
    <w:p w:rsidR="00DD5434" w:rsidRDefault="00DD5434">
      <w:pPr>
        <w:pStyle w:val="BodyText"/>
        <w:spacing w:before="4"/>
        <w:ind w:firstLine="0"/>
      </w:pPr>
    </w:p>
    <w:p w:rsidR="00DD5434" w:rsidRDefault="00332B85">
      <w:pPr>
        <w:pStyle w:val="BodyText"/>
        <w:spacing w:line="237" w:lineRule="auto"/>
        <w:ind w:left="216" w:right="95" w:firstLine="0"/>
      </w:pPr>
      <w:r>
        <w:rPr>
          <w:b/>
          <w:sz w:val="26"/>
        </w:rPr>
        <w:t xml:space="preserve">Temporary (TS) Employees: </w:t>
      </w:r>
      <w:r>
        <w:t>Temporary employees will be benefits eligible if they are expected to work 30+ hours per week or 130+ hours per month.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spacing w:before="4" w:line="279" w:lineRule="exact"/>
        <w:ind w:hanging="181"/>
      </w:pPr>
      <w:r>
        <w:t>Benefi</w:t>
      </w:r>
      <w:r>
        <w:t>ts will be offered upon</w:t>
      </w:r>
      <w:r>
        <w:rPr>
          <w:spacing w:val="-6"/>
        </w:rPr>
        <w:t xml:space="preserve"> </w:t>
      </w:r>
      <w:r>
        <w:t>hire;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ind w:left="575" w:right="292"/>
      </w:pPr>
      <w:r>
        <w:t>Employee may enroll at any time during their first 3 months, if they meet these</w:t>
      </w:r>
      <w:r>
        <w:rPr>
          <w:spacing w:val="-6"/>
        </w:rPr>
        <w:t xml:space="preserve"> </w:t>
      </w:r>
      <w:r>
        <w:t>criteria;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ind w:left="575" w:right="133"/>
      </w:pPr>
      <w:r>
        <w:t>Benefits will become effective the first of their fourth month if still</w:t>
      </w:r>
      <w:r>
        <w:rPr>
          <w:spacing w:val="-3"/>
        </w:rPr>
        <w:t xml:space="preserve"> </w:t>
      </w:r>
      <w:r>
        <w:t>employed.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ind w:left="575" w:right="154"/>
      </w:pPr>
      <w:r>
        <w:t>If in Initial Measurement Period, must maintain PEBB benefit eligible hours to have benefits</w:t>
      </w:r>
      <w:r>
        <w:rPr>
          <w:spacing w:val="-8"/>
        </w:rPr>
        <w:t xml:space="preserve"> </w:t>
      </w:r>
      <w:r>
        <w:t>continued.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ind w:left="575" w:right="121"/>
      </w:pPr>
      <w:r>
        <w:rPr>
          <w:b/>
          <w:i/>
        </w:rPr>
        <w:t xml:space="preserve">Example: </w:t>
      </w:r>
      <w:r>
        <w:t>TS employee hired 40 hours per week for 6 months: Health benefits would be effective the 4</w:t>
      </w:r>
      <w:r>
        <w:rPr>
          <w:vertAlign w:val="superscript"/>
        </w:rPr>
        <w:t>th</w:t>
      </w:r>
      <w:r>
        <w:t>, 5</w:t>
      </w:r>
      <w:r>
        <w:rPr>
          <w:vertAlign w:val="superscript"/>
        </w:rPr>
        <w:t>th</w:t>
      </w:r>
      <w:r>
        <w:t>, 6</w:t>
      </w:r>
      <w:r>
        <w:rPr>
          <w:vertAlign w:val="superscript"/>
        </w:rPr>
        <w:t>th</w:t>
      </w:r>
      <w:r>
        <w:t>, and 7</w:t>
      </w:r>
      <w:r>
        <w:rPr>
          <w:vertAlign w:val="superscript"/>
        </w:rPr>
        <w:t>th</w:t>
      </w:r>
      <w:r>
        <w:t xml:space="preserve"> month (per PEBB rules will receive health insurance the month after</w:t>
      </w:r>
      <w:r>
        <w:rPr>
          <w:spacing w:val="-9"/>
        </w:rPr>
        <w:t xml:space="preserve"> </w:t>
      </w:r>
      <w:r>
        <w:t>termination)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spacing w:before="1"/>
        <w:ind w:hanging="181"/>
        <w:rPr>
          <w:b/>
          <w:i/>
        </w:rPr>
      </w:pPr>
      <w:r>
        <w:rPr>
          <w:b/>
          <w:i/>
        </w:rPr>
        <w:t>Possible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considerations: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6"/>
        </w:tabs>
        <w:spacing w:line="272" w:lineRule="exact"/>
        <w:rPr>
          <w:rFonts w:ascii="Courier New" w:hAnsi="Courier New"/>
        </w:rPr>
      </w:pPr>
      <w:r>
        <w:t>Hire for no more than 29 hours per week;</w:t>
      </w:r>
      <w:r>
        <w:rPr>
          <w:spacing w:val="-8"/>
        </w:rPr>
        <w:t xml:space="preserve"> </w:t>
      </w:r>
      <w:r>
        <w:t>or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6"/>
        </w:tabs>
        <w:spacing w:line="269" w:lineRule="exact"/>
        <w:rPr>
          <w:rFonts w:ascii="Courier New" w:hAnsi="Courier New"/>
        </w:rPr>
      </w:pPr>
      <w:r>
        <w:t>Full-time temporary work for only 3 months;</w:t>
      </w:r>
      <w:r>
        <w:rPr>
          <w:spacing w:val="-12"/>
        </w:rPr>
        <w:t xml:space="preserve"> </w:t>
      </w:r>
      <w:r>
        <w:t>or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6"/>
        </w:tabs>
        <w:spacing w:line="272" w:lineRule="exact"/>
        <w:rPr>
          <w:rFonts w:ascii="Courier New" w:hAnsi="Courier New"/>
        </w:rPr>
      </w:pPr>
      <w:r>
        <w:t>Use a temp</w:t>
      </w:r>
      <w:r>
        <w:rPr>
          <w:spacing w:val="-2"/>
        </w:rPr>
        <w:t xml:space="preserve"> </w:t>
      </w:r>
      <w:r>
        <w:t>agency</w:t>
      </w:r>
    </w:p>
    <w:p w:rsidR="00DD5434" w:rsidRDefault="00DD5434">
      <w:pPr>
        <w:pStyle w:val="BodyText"/>
        <w:spacing w:before="8"/>
        <w:ind w:firstLine="0"/>
        <w:rPr>
          <w:sz w:val="21"/>
        </w:rPr>
      </w:pPr>
    </w:p>
    <w:p w:rsidR="00DD5434" w:rsidRDefault="00332B85">
      <w:pPr>
        <w:pStyle w:val="BodyText"/>
        <w:spacing w:line="237" w:lineRule="auto"/>
        <w:ind w:left="216" w:right="118" w:firstLine="0"/>
      </w:pPr>
      <w:r>
        <w:rPr>
          <w:b/>
          <w:sz w:val="26"/>
        </w:rPr>
        <w:t xml:space="preserve">Student Employees: </w:t>
      </w:r>
      <w:r>
        <w:t>Student employees ar</w:t>
      </w:r>
      <w:r>
        <w:t>e subject to the ACA and their hours will be monitored to determine benefit eligibility under the ACA.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spacing w:before="4"/>
        <w:ind w:hanging="181"/>
      </w:pPr>
      <w:r>
        <w:t>Considered ACA Variable Hour</w:t>
      </w:r>
      <w:r>
        <w:rPr>
          <w:spacing w:val="-3"/>
        </w:rPr>
        <w:t xml:space="preserve"> </w:t>
      </w:r>
      <w:r>
        <w:t>employees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spacing w:before="1"/>
        <w:ind w:left="575" w:right="430"/>
      </w:pPr>
      <w:r>
        <w:t>Placed into a 12-month look back period (initial or standard) to determine benefits</w:t>
      </w:r>
      <w:r>
        <w:rPr>
          <w:spacing w:val="-1"/>
        </w:rPr>
        <w:t xml:space="preserve"> </w:t>
      </w:r>
      <w:r>
        <w:t>eligibility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spacing w:before="1"/>
        <w:ind w:left="575" w:right="424"/>
      </w:pPr>
      <w:r>
        <w:t>20 hours per week is the Maximum a student may work during the</w:t>
      </w:r>
      <w:r>
        <w:rPr>
          <w:spacing w:val="-4"/>
        </w:rPr>
        <w:t xml:space="preserve"> </w:t>
      </w:r>
      <w:r>
        <w:t>term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spacing w:line="279" w:lineRule="exact"/>
        <w:ind w:hanging="181"/>
      </w:pPr>
      <w:r>
        <w:t>May work 40 hours per week during</w:t>
      </w:r>
      <w:r>
        <w:rPr>
          <w:spacing w:val="-9"/>
        </w:rPr>
        <w:t xml:space="preserve"> </w:t>
      </w:r>
      <w:r>
        <w:t>breaks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ind w:hanging="181"/>
      </w:pPr>
      <w:r>
        <w:t>Hours exempt from being counted</w:t>
      </w:r>
      <w:r>
        <w:rPr>
          <w:spacing w:val="-5"/>
        </w:rPr>
        <w:t xml:space="preserve"> </w:t>
      </w:r>
      <w:r>
        <w:t>included: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6"/>
        </w:tabs>
        <w:spacing w:line="272" w:lineRule="exact"/>
        <w:rPr>
          <w:rFonts w:ascii="Courier New" w:hAnsi="Courier New"/>
        </w:rPr>
      </w:pPr>
      <w:r>
        <w:t>Federal Work-Study</w:t>
      </w:r>
      <w:r>
        <w:rPr>
          <w:spacing w:val="-1"/>
        </w:rPr>
        <w:t xml:space="preserve"> </w:t>
      </w:r>
      <w:r>
        <w:t>hours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6"/>
        </w:tabs>
        <w:spacing w:line="269" w:lineRule="exact"/>
        <w:rPr>
          <w:rFonts w:ascii="Courier New" w:hAnsi="Courier New"/>
        </w:rPr>
      </w:pPr>
      <w:r>
        <w:t>Unpaid</w:t>
      </w:r>
      <w:r>
        <w:rPr>
          <w:spacing w:val="-3"/>
        </w:rPr>
        <w:t xml:space="preserve"> </w:t>
      </w:r>
      <w:r>
        <w:t>Internships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6"/>
        </w:tabs>
        <w:spacing w:line="269" w:lineRule="exact"/>
        <w:rPr>
          <w:rFonts w:ascii="Courier New" w:hAnsi="Courier New"/>
        </w:rPr>
      </w:pPr>
      <w:r>
        <w:t>Non-OSU Paid</w:t>
      </w:r>
      <w:r>
        <w:rPr>
          <w:spacing w:val="-6"/>
        </w:rPr>
        <w:t xml:space="preserve"> </w:t>
      </w:r>
      <w:r>
        <w:t>internships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ind w:left="575" w:right="419"/>
      </w:pPr>
      <w:r>
        <w:t>Student should not meet ACA eligibil</w:t>
      </w:r>
      <w:r>
        <w:t>ity during the applicable Measurement Period if hours worked during the term do not exceed the 20 hours per week.</w:t>
      </w:r>
    </w:p>
    <w:p w:rsidR="00DD5434" w:rsidRDefault="00332B85">
      <w:pPr>
        <w:pStyle w:val="ListParagraph"/>
        <w:numPr>
          <w:ilvl w:val="0"/>
          <w:numId w:val="2"/>
        </w:numPr>
        <w:tabs>
          <w:tab w:val="left" w:pos="576"/>
        </w:tabs>
        <w:spacing w:line="280" w:lineRule="exact"/>
        <w:ind w:hanging="181"/>
      </w:pPr>
      <w:r>
        <w:t>Student may become ACA benefit eligible</w:t>
      </w:r>
      <w:r>
        <w:rPr>
          <w:spacing w:val="-7"/>
        </w:rPr>
        <w:t xml:space="preserve"> </w:t>
      </w:r>
      <w:r>
        <w:t>if: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6"/>
        </w:tabs>
        <w:spacing w:before="1" w:line="235" w:lineRule="auto"/>
        <w:ind w:right="82"/>
        <w:rPr>
          <w:rFonts w:ascii="Courier New" w:hAnsi="Courier New"/>
        </w:rPr>
      </w:pPr>
      <w:r>
        <w:t>Hours worked during the term exceeded 20 hours per week;</w:t>
      </w:r>
      <w:r>
        <w:rPr>
          <w:spacing w:val="-2"/>
        </w:rPr>
        <w:t xml:space="preserve"> </w:t>
      </w:r>
      <w:r>
        <w:t>or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6"/>
        </w:tabs>
        <w:spacing w:before="1" w:line="272" w:lineRule="exact"/>
        <w:rPr>
          <w:rFonts w:ascii="Courier New" w:hAnsi="Courier New"/>
        </w:rPr>
      </w:pPr>
      <w:r>
        <w:t>Overtime hours are worked during the breaks;</w:t>
      </w:r>
      <w:r>
        <w:rPr>
          <w:spacing w:val="-7"/>
        </w:rPr>
        <w:t xml:space="preserve"> </w:t>
      </w:r>
      <w:r>
        <w:t>or</w:t>
      </w:r>
    </w:p>
    <w:p w:rsidR="00DD5434" w:rsidRDefault="00332B85">
      <w:pPr>
        <w:pStyle w:val="ListParagraph"/>
        <w:numPr>
          <w:ilvl w:val="1"/>
          <w:numId w:val="2"/>
        </w:numPr>
        <w:tabs>
          <w:tab w:val="left" w:pos="936"/>
        </w:tabs>
        <w:spacing w:line="235" w:lineRule="auto"/>
        <w:ind w:right="675"/>
        <w:rPr>
          <w:rFonts w:ascii="Courier New" w:hAnsi="Courier New"/>
        </w:rPr>
      </w:pPr>
      <w:r>
        <w:t>Previous employment – student had a non- student position during all or part of the applicable measurement</w:t>
      </w:r>
      <w:r>
        <w:rPr>
          <w:spacing w:val="-3"/>
        </w:rPr>
        <w:t xml:space="preserve"> </w:t>
      </w:r>
      <w:r>
        <w:t>period.</w:t>
      </w:r>
    </w:p>
    <w:p w:rsidR="00DD5434" w:rsidRDefault="00332B85">
      <w:pPr>
        <w:pStyle w:val="Heading2"/>
        <w:spacing w:before="184"/>
        <w:ind w:left="140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65405</wp:posOffset>
                </wp:positionV>
                <wp:extent cx="6469380" cy="63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6350"/>
                          <a:chOff x="1594" y="103"/>
                          <a:chExt cx="10188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4" y="1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04" y="108"/>
                            <a:ext cx="101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AA09" id="Group 3" o:spid="_x0000_s1026" style="position:absolute;margin-left:79.7pt;margin-top:5.15pt;width:509.4pt;height:.5pt;z-index:251659264;mso-position-horizontal-relative:page" coordorigin="1594,103" coordsize="101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">
                <v:rect id="Rectangle 5" o:spid="_x0000_s1027" style="position:absolute;left:1594;top:1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4" o:spid="_x0000_s1028" style="position:absolute;visibility:visible;mso-wrap-style:square" from="1604,108" to="11782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68580</wp:posOffset>
                </wp:positionV>
                <wp:extent cx="720090" cy="2806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0670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434" w:rsidRDefault="00332B85">
                            <w:pPr>
                              <w:spacing w:before="68"/>
                              <w:ind w:right="113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05pt;margin-top:5.4pt;width:56.7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" fillcolor="#933634" stroked="f">
                <v:textbox inset="0,0,0,0">
                  <w:txbxContent>
                    <w:p w:rsidR="00DD5434" w:rsidRDefault="00332B85">
                      <w:pPr>
                        <w:spacing w:before="68"/>
                        <w:ind w:right="113"/>
                        <w:jc w:val="righ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ACA Quick Facts </w:t>
      </w:r>
      <w:r>
        <w:rPr>
          <w:rFonts w:ascii="Times New Roman"/>
        </w:rPr>
        <w:t xml:space="preserve">| </w:t>
      </w:r>
      <w:r>
        <w:t>Employee Benefits</w:t>
      </w:r>
    </w:p>
    <w:p w:rsidR="00DD5434" w:rsidRDefault="00332B85" w:rsidP="00332B85">
      <w:pPr>
        <w:spacing w:before="35"/>
        <w:ind w:left="216" w:right="211"/>
        <w:rPr>
          <w:sz w:val="24"/>
        </w:rPr>
      </w:pPr>
      <w:r>
        <w:br w:type="column"/>
      </w:r>
      <w:bookmarkStart w:id="0" w:name="_GoBack"/>
      <w:bookmarkEnd w:id="0"/>
    </w:p>
    <w:sectPr w:rsidR="00DD5434">
      <w:pgSz w:w="12240" w:h="15840"/>
      <w:pgMar w:top="540" w:right="440" w:bottom="280" w:left="360" w:header="720" w:footer="720" w:gutter="0"/>
      <w:cols w:num="2" w:space="720" w:equalWidth="0">
        <w:col w:w="5480" w:space="425"/>
        <w:col w:w="55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E64D9"/>
    <w:multiLevelType w:val="hybridMultilevel"/>
    <w:tmpl w:val="2F0E820E"/>
    <w:lvl w:ilvl="0" w:tplc="EDF68D34">
      <w:start w:val="1"/>
      <w:numFmt w:val="decimal"/>
      <w:lvlText w:val="%1)"/>
      <w:lvlJc w:val="left"/>
      <w:pPr>
        <w:ind w:left="756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6F8CDAF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2" w:tplc="4EBABF0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3" w:tplc="C6C637B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en-US"/>
      </w:rPr>
    </w:lvl>
    <w:lvl w:ilvl="4" w:tplc="431CFFE4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5" w:tplc="6478D12A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en-US"/>
      </w:rPr>
    </w:lvl>
    <w:lvl w:ilvl="6" w:tplc="EE282728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7" w:tplc="8E106606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en-US"/>
      </w:rPr>
    </w:lvl>
    <w:lvl w:ilvl="8" w:tplc="7EB204D6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</w:abstractNum>
  <w:abstractNum w:abstractNumId="1">
    <w:nsid w:val="642524CD"/>
    <w:multiLevelType w:val="hybridMultilevel"/>
    <w:tmpl w:val="17D6B108"/>
    <w:lvl w:ilvl="0" w:tplc="1B4C7646">
      <w:numFmt w:val="bullet"/>
      <w:lvlText w:val=""/>
      <w:lvlJc w:val="left"/>
      <w:pPr>
        <w:ind w:left="576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3A892EA">
      <w:numFmt w:val="bullet"/>
      <w:lvlText w:val="o"/>
      <w:lvlJc w:val="left"/>
      <w:pPr>
        <w:ind w:left="936" w:hanging="180"/>
      </w:pPr>
      <w:rPr>
        <w:rFonts w:hint="default"/>
        <w:w w:val="100"/>
        <w:lang w:val="en-US" w:eastAsia="en-US" w:bidi="en-US"/>
      </w:rPr>
    </w:lvl>
    <w:lvl w:ilvl="2" w:tplc="B15C983A">
      <w:numFmt w:val="bullet"/>
      <w:lvlText w:val="•"/>
      <w:lvlJc w:val="left"/>
      <w:pPr>
        <w:ind w:left="783" w:hanging="180"/>
      </w:pPr>
      <w:rPr>
        <w:rFonts w:hint="default"/>
        <w:lang w:val="en-US" w:eastAsia="en-US" w:bidi="en-US"/>
      </w:rPr>
    </w:lvl>
    <w:lvl w:ilvl="3" w:tplc="6D9E9F4A">
      <w:numFmt w:val="bullet"/>
      <w:lvlText w:val="•"/>
      <w:lvlJc w:val="left"/>
      <w:pPr>
        <w:ind w:left="626" w:hanging="180"/>
      </w:pPr>
      <w:rPr>
        <w:rFonts w:hint="default"/>
        <w:lang w:val="en-US" w:eastAsia="en-US" w:bidi="en-US"/>
      </w:rPr>
    </w:lvl>
    <w:lvl w:ilvl="4" w:tplc="6ED2E74E">
      <w:numFmt w:val="bullet"/>
      <w:lvlText w:val="•"/>
      <w:lvlJc w:val="left"/>
      <w:pPr>
        <w:ind w:left="470" w:hanging="180"/>
      </w:pPr>
      <w:rPr>
        <w:rFonts w:hint="default"/>
        <w:lang w:val="en-US" w:eastAsia="en-US" w:bidi="en-US"/>
      </w:rPr>
    </w:lvl>
    <w:lvl w:ilvl="5" w:tplc="27C634FC">
      <w:numFmt w:val="bullet"/>
      <w:lvlText w:val="•"/>
      <w:lvlJc w:val="left"/>
      <w:pPr>
        <w:ind w:left="313" w:hanging="180"/>
      </w:pPr>
      <w:rPr>
        <w:rFonts w:hint="default"/>
        <w:lang w:val="en-US" w:eastAsia="en-US" w:bidi="en-US"/>
      </w:rPr>
    </w:lvl>
    <w:lvl w:ilvl="6" w:tplc="F9ACF73E">
      <w:numFmt w:val="bullet"/>
      <w:lvlText w:val="•"/>
      <w:lvlJc w:val="left"/>
      <w:pPr>
        <w:ind w:left="156" w:hanging="180"/>
      </w:pPr>
      <w:rPr>
        <w:rFonts w:hint="default"/>
        <w:lang w:val="en-US" w:eastAsia="en-US" w:bidi="en-US"/>
      </w:rPr>
    </w:lvl>
    <w:lvl w:ilvl="7" w:tplc="B54A4B3A">
      <w:numFmt w:val="bullet"/>
      <w:lvlText w:val="•"/>
      <w:lvlJc w:val="left"/>
      <w:pPr>
        <w:ind w:left="0" w:hanging="180"/>
      </w:pPr>
      <w:rPr>
        <w:rFonts w:hint="default"/>
        <w:lang w:val="en-US" w:eastAsia="en-US" w:bidi="en-US"/>
      </w:rPr>
    </w:lvl>
    <w:lvl w:ilvl="8" w:tplc="7784825E">
      <w:numFmt w:val="bullet"/>
      <w:lvlText w:val="•"/>
      <w:lvlJc w:val="left"/>
      <w:pPr>
        <w:ind w:left="-157" w:hanging="18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34"/>
    <w:rsid w:val="00332B85"/>
    <w:rsid w:val="00D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3565027-5505-46A1-9108-C8127666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16" w:lineRule="exact"/>
      <w:ind w:left="216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"/>
      <w:ind w:left="57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180"/>
    </w:pPr>
  </w:style>
  <w:style w:type="paragraph" w:styleId="ListParagraph">
    <w:name w:val="List Paragraph"/>
    <w:basedOn w:val="Normal"/>
    <w:uiPriority w:val="1"/>
    <w:qFormat/>
    <w:pPr>
      <w:ind w:left="576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for Academic and Professional Employees</vt:lpstr>
    </vt:vector>
  </TitlesOfParts>
  <Company>EOU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for Academic and Professional Employees</dc:title>
  <dc:subject>Benefits for Academic and Professional Employees</dc:subject>
  <dc:creator>Employee Benefits, Office of Human Resources</dc:creator>
  <cp:keywords>employee benefits, academic and professional employees</cp:keywords>
  <cp:lastModifiedBy>Jacque Naegle</cp:lastModifiedBy>
  <cp:revision>2</cp:revision>
  <dcterms:created xsi:type="dcterms:W3CDTF">2022-02-17T20:10:00Z</dcterms:created>
  <dcterms:modified xsi:type="dcterms:W3CDTF">2022-02-17T20:10:00Z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