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913" w:rsidRPr="008E2913" w:rsidRDefault="008E2913" w:rsidP="008E2913">
      <w:pPr>
        <w:shd w:val="clear" w:color="auto" w:fill="F4F2EC"/>
        <w:spacing w:before="165" w:after="165" w:line="480" w:lineRule="atLeast"/>
        <w:outlineLvl w:val="1"/>
        <w:rPr>
          <w:rFonts w:ascii="Arial" w:eastAsia="Times New Roman" w:hAnsi="Arial" w:cs="Arial"/>
          <w:b/>
          <w:bCs/>
          <w:color w:val="660000"/>
          <w:sz w:val="39"/>
          <w:szCs w:val="39"/>
        </w:rPr>
      </w:pPr>
      <w:r w:rsidRPr="008E2913">
        <w:rPr>
          <w:rFonts w:ascii="Arial" w:eastAsia="Times New Roman" w:hAnsi="Arial" w:cs="Arial"/>
          <w:b/>
          <w:bCs/>
          <w:color w:val="660000"/>
          <w:sz w:val="39"/>
          <w:szCs w:val="39"/>
        </w:rPr>
        <w:t>Moving Expenses</w:t>
      </w:r>
    </w:p>
    <w:tbl>
      <w:tblPr>
        <w:tblW w:w="4935" w:type="dxa"/>
        <w:tblCellMar>
          <w:top w:w="15" w:type="dxa"/>
          <w:left w:w="15" w:type="dxa"/>
          <w:bottom w:w="15" w:type="dxa"/>
          <w:right w:w="15" w:type="dxa"/>
        </w:tblCellMar>
        <w:tblLook w:val="04A0" w:firstRow="1" w:lastRow="0" w:firstColumn="1" w:lastColumn="0" w:noHBand="0" w:noVBand="1"/>
      </w:tblPr>
      <w:tblGrid>
        <w:gridCol w:w="3776"/>
        <w:gridCol w:w="1159"/>
      </w:tblGrid>
      <w:tr w:rsidR="008E2913" w:rsidRPr="008E2913" w:rsidTr="008E2913">
        <w:tc>
          <w:tcPr>
            <w:tcW w:w="6810" w:type="dxa"/>
            <w:tcBorders>
              <w:top w:val="single" w:sz="2" w:space="0" w:color="E0E0E0"/>
              <w:left w:val="single" w:sz="2" w:space="0" w:color="E0E0E0"/>
              <w:bottom w:val="single" w:sz="2" w:space="0" w:color="E0E0E0"/>
              <w:right w:val="single" w:sz="2" w:space="0" w:color="E0E0E0"/>
            </w:tcBorders>
            <w:shd w:val="clear" w:color="auto" w:fill="F5F2ED"/>
            <w:tcMar>
              <w:top w:w="75" w:type="dxa"/>
              <w:left w:w="150" w:type="dxa"/>
              <w:bottom w:w="75" w:type="dxa"/>
              <w:right w:w="75" w:type="dxa"/>
            </w:tcMar>
            <w:vAlign w:val="center"/>
            <w:hideMark/>
          </w:tcPr>
          <w:p w:rsidR="008E2913" w:rsidRPr="008E2913" w:rsidRDefault="008E2913" w:rsidP="008E2913">
            <w:pPr>
              <w:spacing w:after="360" w:line="240" w:lineRule="auto"/>
              <w:rPr>
                <w:rFonts w:ascii="Times New Roman" w:eastAsia="Times New Roman" w:hAnsi="Times New Roman" w:cs="Times New Roman"/>
                <w:sz w:val="24"/>
                <w:szCs w:val="24"/>
              </w:rPr>
            </w:pPr>
            <w:bookmarkStart w:id="0" w:name="top"/>
            <w:bookmarkEnd w:id="0"/>
            <w:r w:rsidRPr="008E2913">
              <w:rPr>
                <w:rFonts w:ascii="Times New Roman" w:eastAsia="Times New Roman" w:hAnsi="Times New Roman" w:cs="Times New Roman"/>
                <w:b/>
                <w:bCs/>
                <w:sz w:val="24"/>
                <w:szCs w:val="24"/>
              </w:rPr>
              <w:t>Section: Fringe Benefits</w:t>
            </w:r>
          </w:p>
        </w:tc>
        <w:tc>
          <w:tcPr>
            <w:tcW w:w="1005" w:type="dxa"/>
            <w:vMerge w:val="restart"/>
            <w:tcBorders>
              <w:top w:val="single" w:sz="2" w:space="0" w:color="E0E0E0"/>
              <w:left w:val="single" w:sz="6" w:space="0" w:color="E0E0E0"/>
              <w:bottom w:val="single" w:sz="2" w:space="0" w:color="E0E0E0"/>
              <w:right w:val="single" w:sz="2" w:space="0" w:color="E0E0E0"/>
            </w:tcBorders>
            <w:shd w:val="clear" w:color="auto" w:fill="F5F2ED"/>
            <w:tcMar>
              <w:top w:w="75" w:type="dxa"/>
              <w:left w:w="150" w:type="dxa"/>
              <w:bottom w:w="75" w:type="dxa"/>
              <w:right w:w="75" w:type="dxa"/>
            </w:tcMar>
            <w:vAlign w:val="center"/>
            <w:hideMark/>
          </w:tcPr>
          <w:p w:rsidR="008E2913" w:rsidRPr="008E2913" w:rsidRDefault="008E2913" w:rsidP="008E2913">
            <w:pPr>
              <w:spacing w:after="360" w:line="240" w:lineRule="auto"/>
              <w:rPr>
                <w:rFonts w:ascii="Times New Roman" w:eastAsia="Times New Roman" w:hAnsi="Times New Roman" w:cs="Times New Roman"/>
                <w:sz w:val="24"/>
                <w:szCs w:val="24"/>
              </w:rPr>
            </w:pPr>
            <w:r w:rsidRPr="008E2913">
              <w:rPr>
                <w:rFonts w:ascii="Times New Roman" w:eastAsia="Times New Roman" w:hAnsi="Times New Roman" w:cs="Times New Roman"/>
                <w:b/>
                <w:bCs/>
                <w:sz w:val="24"/>
                <w:szCs w:val="24"/>
              </w:rPr>
              <w:t>Number: 66.200</w:t>
            </w:r>
          </w:p>
        </w:tc>
      </w:tr>
      <w:tr w:rsidR="008E2913" w:rsidRPr="008E2913" w:rsidTr="008E2913">
        <w:trPr>
          <w:trHeight w:val="375"/>
        </w:trPr>
        <w:tc>
          <w:tcPr>
            <w:tcW w:w="0" w:type="auto"/>
            <w:tcBorders>
              <w:top w:val="single" w:sz="2" w:space="0" w:color="E0E0E0"/>
              <w:left w:val="single" w:sz="2" w:space="0" w:color="E0E0E0"/>
              <w:bottom w:val="single" w:sz="2" w:space="0" w:color="E0E0E0"/>
              <w:right w:val="single" w:sz="2" w:space="0" w:color="E0E0E0"/>
            </w:tcBorders>
            <w:shd w:val="clear" w:color="auto" w:fill="auto"/>
            <w:tcMar>
              <w:top w:w="75" w:type="dxa"/>
              <w:left w:w="150" w:type="dxa"/>
              <w:bottom w:w="75" w:type="dxa"/>
              <w:right w:w="75" w:type="dxa"/>
            </w:tcMar>
            <w:vAlign w:val="center"/>
            <w:hideMark/>
          </w:tcPr>
          <w:p w:rsidR="008E2913" w:rsidRPr="008E2913" w:rsidRDefault="008E2913" w:rsidP="008E2913">
            <w:pPr>
              <w:spacing w:after="360" w:line="240" w:lineRule="auto"/>
              <w:rPr>
                <w:rFonts w:ascii="Times New Roman" w:eastAsia="Times New Roman" w:hAnsi="Times New Roman" w:cs="Times New Roman"/>
                <w:sz w:val="24"/>
                <w:szCs w:val="24"/>
              </w:rPr>
            </w:pPr>
            <w:r w:rsidRPr="008E2913">
              <w:rPr>
                <w:rFonts w:ascii="Times New Roman" w:eastAsia="Times New Roman" w:hAnsi="Times New Roman" w:cs="Times New Roman"/>
                <w:b/>
                <w:bCs/>
                <w:sz w:val="24"/>
                <w:szCs w:val="24"/>
              </w:rPr>
              <w:t>Title: Moving Expenses</w:t>
            </w:r>
          </w:p>
        </w:tc>
        <w:tc>
          <w:tcPr>
            <w:tcW w:w="0" w:type="auto"/>
            <w:vMerge/>
            <w:tcBorders>
              <w:top w:val="single" w:sz="2" w:space="0" w:color="E0E0E0"/>
              <w:left w:val="single" w:sz="6" w:space="0" w:color="E0E0E0"/>
              <w:bottom w:val="single" w:sz="2" w:space="0" w:color="E0E0E0"/>
              <w:right w:val="single" w:sz="2" w:space="0" w:color="E0E0E0"/>
            </w:tcBorders>
            <w:shd w:val="clear" w:color="auto" w:fill="auto"/>
            <w:vAlign w:val="center"/>
            <w:hideMark/>
          </w:tcPr>
          <w:p w:rsidR="008E2913" w:rsidRPr="008E2913" w:rsidRDefault="008E2913" w:rsidP="008E2913">
            <w:pPr>
              <w:spacing w:after="0" w:line="240" w:lineRule="auto"/>
              <w:rPr>
                <w:rFonts w:ascii="Times New Roman" w:eastAsia="Times New Roman" w:hAnsi="Times New Roman" w:cs="Times New Roman"/>
                <w:sz w:val="24"/>
                <w:szCs w:val="24"/>
              </w:rPr>
            </w:pPr>
          </w:p>
        </w:tc>
      </w:tr>
    </w:tbl>
    <w:p w:rsidR="008E2913" w:rsidRPr="008E2913" w:rsidRDefault="008E2913" w:rsidP="008E2913">
      <w:pPr>
        <w:shd w:val="clear" w:color="auto" w:fill="F4F2EC"/>
        <w:spacing w:before="165" w:after="165" w:line="480" w:lineRule="atLeast"/>
        <w:jc w:val="center"/>
        <w:outlineLvl w:val="1"/>
        <w:rPr>
          <w:rFonts w:ascii="Arial" w:eastAsia="Times New Roman" w:hAnsi="Arial" w:cs="Arial"/>
          <w:b/>
          <w:bCs/>
          <w:color w:val="660000"/>
          <w:sz w:val="33"/>
          <w:szCs w:val="33"/>
        </w:rPr>
      </w:pPr>
      <w:r w:rsidRPr="008E2913">
        <w:rPr>
          <w:rFonts w:ascii="Arial" w:eastAsia="Times New Roman" w:hAnsi="Arial" w:cs="Arial"/>
          <w:b/>
          <w:bCs/>
          <w:color w:val="660000"/>
          <w:sz w:val="33"/>
          <w:szCs w:val="33"/>
        </w:rPr>
        <w:t>Index</w:t>
      </w:r>
    </w:p>
    <w:p w:rsidR="008E2913" w:rsidRPr="008E2913" w:rsidRDefault="008E2913" w:rsidP="008E2913">
      <w:pPr>
        <w:shd w:val="clear" w:color="auto" w:fill="F4F2EC"/>
        <w:spacing w:before="270" w:after="75" w:line="660" w:lineRule="atLeast"/>
        <w:outlineLvl w:val="2"/>
        <w:rPr>
          <w:rFonts w:ascii="inherit" w:eastAsia="Times New Roman" w:hAnsi="inherit" w:cs="Arial"/>
          <w:b/>
          <w:bCs/>
          <w:color w:val="660000"/>
          <w:sz w:val="29"/>
          <w:szCs w:val="29"/>
        </w:rPr>
      </w:pPr>
      <w:r w:rsidRPr="008E2913">
        <w:rPr>
          <w:rFonts w:ascii="inherit" w:eastAsia="Times New Roman" w:hAnsi="inherit" w:cs="Arial"/>
          <w:b/>
          <w:bCs/>
          <w:color w:val="660000"/>
          <w:sz w:val="29"/>
          <w:szCs w:val="29"/>
        </w:rPr>
        <w:t>POLICY</w:t>
      </w:r>
    </w:p>
    <w:p w:rsidR="008E2913" w:rsidRPr="008E2913" w:rsidRDefault="008E2913" w:rsidP="008E2913">
      <w:pPr>
        <w:numPr>
          <w:ilvl w:val="0"/>
          <w:numId w:val="1"/>
        </w:numPr>
        <w:shd w:val="clear" w:color="auto" w:fill="F4F2EC"/>
        <w:spacing w:before="100" w:beforeAutospacing="1" w:after="90" w:line="300" w:lineRule="atLeast"/>
        <w:ind w:left="375"/>
        <w:rPr>
          <w:rFonts w:ascii="Arial" w:eastAsia="Times New Roman" w:hAnsi="Arial" w:cs="Arial"/>
          <w:color w:val="252525"/>
          <w:sz w:val="24"/>
          <w:szCs w:val="24"/>
        </w:rPr>
      </w:pPr>
      <w:hyperlink r:id="rId6" w:anchor=".100" w:history="1">
        <w:r w:rsidRPr="008E2913">
          <w:rPr>
            <w:rFonts w:ascii="Arial" w:eastAsia="Times New Roman" w:hAnsi="Arial" w:cs="Arial"/>
            <w:color w:val="305CB6"/>
            <w:sz w:val="24"/>
            <w:szCs w:val="24"/>
          </w:rPr>
          <w:t>.100 POLICY STATEMENT</w:t>
        </w:r>
      </w:hyperlink>
    </w:p>
    <w:p w:rsidR="008E2913" w:rsidRPr="008E2913" w:rsidRDefault="008E2913" w:rsidP="008E2913">
      <w:pPr>
        <w:numPr>
          <w:ilvl w:val="0"/>
          <w:numId w:val="1"/>
        </w:numPr>
        <w:shd w:val="clear" w:color="auto" w:fill="F4F2EC"/>
        <w:spacing w:before="100" w:beforeAutospacing="1" w:after="90" w:line="300" w:lineRule="atLeast"/>
        <w:ind w:left="375"/>
        <w:rPr>
          <w:rFonts w:ascii="Arial" w:eastAsia="Times New Roman" w:hAnsi="Arial" w:cs="Arial"/>
          <w:color w:val="252525"/>
          <w:sz w:val="24"/>
          <w:szCs w:val="24"/>
        </w:rPr>
      </w:pPr>
      <w:hyperlink r:id="rId7" w:anchor=".110" w:history="1">
        <w:r w:rsidRPr="008E2913">
          <w:rPr>
            <w:rFonts w:ascii="Arial" w:eastAsia="Times New Roman" w:hAnsi="Arial" w:cs="Arial"/>
            <w:color w:val="305CB6"/>
            <w:sz w:val="24"/>
            <w:szCs w:val="24"/>
          </w:rPr>
          <w:t>.110 POLICY RATIONALE</w:t>
        </w:r>
      </w:hyperlink>
    </w:p>
    <w:p w:rsidR="008E2913" w:rsidRPr="008E2913" w:rsidRDefault="008E2913" w:rsidP="008E2913">
      <w:pPr>
        <w:numPr>
          <w:ilvl w:val="0"/>
          <w:numId w:val="1"/>
        </w:numPr>
        <w:shd w:val="clear" w:color="auto" w:fill="F4F2EC"/>
        <w:spacing w:before="100" w:beforeAutospacing="1" w:after="90" w:line="300" w:lineRule="atLeast"/>
        <w:ind w:left="375"/>
        <w:rPr>
          <w:rFonts w:ascii="Arial" w:eastAsia="Times New Roman" w:hAnsi="Arial" w:cs="Arial"/>
          <w:color w:val="252525"/>
          <w:sz w:val="24"/>
          <w:szCs w:val="24"/>
        </w:rPr>
      </w:pPr>
      <w:hyperlink r:id="rId8" w:anchor=".120" w:history="1">
        <w:r w:rsidRPr="008E2913">
          <w:rPr>
            <w:rFonts w:ascii="Arial" w:eastAsia="Times New Roman" w:hAnsi="Arial" w:cs="Arial"/>
            <w:color w:val="305CB6"/>
            <w:sz w:val="24"/>
            <w:szCs w:val="24"/>
          </w:rPr>
          <w:t>.120 AUTHORITY</w:t>
        </w:r>
      </w:hyperlink>
    </w:p>
    <w:p w:rsidR="008E2913" w:rsidRPr="008E2913" w:rsidRDefault="008E2913" w:rsidP="008E2913">
      <w:pPr>
        <w:numPr>
          <w:ilvl w:val="0"/>
          <w:numId w:val="1"/>
        </w:numPr>
        <w:shd w:val="clear" w:color="auto" w:fill="F4F2EC"/>
        <w:spacing w:before="100" w:beforeAutospacing="1" w:after="90" w:line="300" w:lineRule="atLeast"/>
        <w:ind w:left="375"/>
        <w:rPr>
          <w:rFonts w:ascii="Arial" w:eastAsia="Times New Roman" w:hAnsi="Arial" w:cs="Arial"/>
          <w:color w:val="252525"/>
          <w:sz w:val="24"/>
          <w:szCs w:val="24"/>
        </w:rPr>
      </w:pPr>
      <w:hyperlink r:id="rId9" w:anchor=".130" w:history="1">
        <w:r w:rsidRPr="008E2913">
          <w:rPr>
            <w:rFonts w:ascii="Arial" w:eastAsia="Times New Roman" w:hAnsi="Arial" w:cs="Arial"/>
            <w:color w:val="305CB6"/>
            <w:sz w:val="24"/>
            <w:szCs w:val="24"/>
          </w:rPr>
          <w:t>.130 APPROVAL AND EFFECTIVE DATE OF POLICY</w:t>
        </w:r>
      </w:hyperlink>
    </w:p>
    <w:p w:rsidR="008E2913" w:rsidRPr="008E2913" w:rsidRDefault="008E2913" w:rsidP="008E2913">
      <w:pPr>
        <w:numPr>
          <w:ilvl w:val="0"/>
          <w:numId w:val="1"/>
        </w:numPr>
        <w:shd w:val="clear" w:color="auto" w:fill="F4F2EC"/>
        <w:spacing w:before="100" w:beforeAutospacing="1" w:after="90" w:line="300" w:lineRule="atLeast"/>
        <w:ind w:left="375"/>
        <w:rPr>
          <w:rFonts w:ascii="Arial" w:eastAsia="Times New Roman" w:hAnsi="Arial" w:cs="Arial"/>
          <w:color w:val="252525"/>
          <w:sz w:val="24"/>
          <w:szCs w:val="24"/>
        </w:rPr>
      </w:pPr>
      <w:hyperlink r:id="rId10" w:anchor=".140" w:history="1">
        <w:r w:rsidRPr="008E2913">
          <w:rPr>
            <w:rFonts w:ascii="Arial" w:eastAsia="Times New Roman" w:hAnsi="Arial" w:cs="Arial"/>
            <w:color w:val="305CB6"/>
            <w:sz w:val="24"/>
            <w:szCs w:val="24"/>
          </w:rPr>
          <w:t>.140 KNOWLEDGE OF THIS POLICY</w:t>
        </w:r>
      </w:hyperlink>
    </w:p>
    <w:p w:rsidR="008E2913" w:rsidRPr="008E2913" w:rsidRDefault="008E2913" w:rsidP="008E2913">
      <w:pPr>
        <w:numPr>
          <w:ilvl w:val="0"/>
          <w:numId w:val="1"/>
        </w:numPr>
        <w:shd w:val="clear" w:color="auto" w:fill="F4F2EC"/>
        <w:spacing w:before="100" w:beforeAutospacing="1" w:after="90" w:line="300" w:lineRule="atLeast"/>
        <w:ind w:left="375"/>
        <w:rPr>
          <w:rFonts w:ascii="Arial" w:eastAsia="Times New Roman" w:hAnsi="Arial" w:cs="Arial"/>
          <w:color w:val="252525"/>
          <w:sz w:val="24"/>
          <w:szCs w:val="24"/>
        </w:rPr>
      </w:pPr>
      <w:hyperlink r:id="rId11" w:anchor=".150" w:history="1">
        <w:r w:rsidRPr="008E2913">
          <w:rPr>
            <w:rFonts w:ascii="Arial" w:eastAsia="Times New Roman" w:hAnsi="Arial" w:cs="Arial"/>
            <w:color w:val="305CB6"/>
            <w:sz w:val="24"/>
            <w:szCs w:val="24"/>
          </w:rPr>
          <w:t>.150 DEFINITIONS</w:t>
        </w:r>
      </w:hyperlink>
    </w:p>
    <w:p w:rsidR="008E2913" w:rsidRPr="008E2913" w:rsidRDefault="008E2913" w:rsidP="008E2913">
      <w:pPr>
        <w:numPr>
          <w:ilvl w:val="0"/>
          <w:numId w:val="1"/>
        </w:numPr>
        <w:shd w:val="clear" w:color="auto" w:fill="F4F2EC"/>
        <w:spacing w:before="100" w:beforeAutospacing="1" w:after="90" w:line="300" w:lineRule="atLeast"/>
        <w:ind w:left="375"/>
        <w:rPr>
          <w:rFonts w:ascii="Arial" w:eastAsia="Times New Roman" w:hAnsi="Arial" w:cs="Arial"/>
          <w:color w:val="252525"/>
          <w:sz w:val="24"/>
          <w:szCs w:val="24"/>
        </w:rPr>
      </w:pPr>
      <w:hyperlink r:id="rId12" w:anchor=".160" w:history="1">
        <w:r w:rsidRPr="008E2913">
          <w:rPr>
            <w:rFonts w:ascii="Arial" w:eastAsia="Times New Roman" w:hAnsi="Arial" w:cs="Arial"/>
            <w:color w:val="305CB6"/>
            <w:sz w:val="24"/>
            <w:szCs w:val="24"/>
          </w:rPr>
          <w:t>.160 RESPONSIBILITIES</w:t>
        </w:r>
      </w:hyperlink>
    </w:p>
    <w:p w:rsidR="008E2913" w:rsidRPr="008E2913" w:rsidRDefault="008E2913" w:rsidP="008E2913">
      <w:pPr>
        <w:numPr>
          <w:ilvl w:val="0"/>
          <w:numId w:val="1"/>
        </w:numPr>
        <w:shd w:val="clear" w:color="auto" w:fill="F4F2EC"/>
        <w:spacing w:before="100" w:beforeAutospacing="1" w:after="90" w:line="300" w:lineRule="atLeast"/>
        <w:ind w:left="375"/>
        <w:rPr>
          <w:rFonts w:ascii="Arial" w:eastAsia="Times New Roman" w:hAnsi="Arial" w:cs="Arial"/>
          <w:color w:val="252525"/>
          <w:sz w:val="24"/>
          <w:szCs w:val="24"/>
        </w:rPr>
      </w:pPr>
      <w:hyperlink r:id="rId13" w:anchor=".170" w:history="1">
        <w:r w:rsidRPr="008E2913">
          <w:rPr>
            <w:rFonts w:ascii="Arial" w:eastAsia="Times New Roman" w:hAnsi="Arial" w:cs="Arial"/>
            <w:color w:val="305CB6"/>
            <w:sz w:val="24"/>
            <w:szCs w:val="24"/>
          </w:rPr>
          <w:t>.170 POLICY PROVISIONS</w:t>
        </w:r>
      </w:hyperlink>
    </w:p>
    <w:p w:rsidR="008E2913" w:rsidRPr="008E2913" w:rsidRDefault="008E2913" w:rsidP="008E2913">
      <w:pPr>
        <w:numPr>
          <w:ilvl w:val="0"/>
          <w:numId w:val="1"/>
        </w:numPr>
        <w:shd w:val="clear" w:color="auto" w:fill="F4F2EC"/>
        <w:spacing w:before="100" w:beforeAutospacing="1" w:after="90" w:line="300" w:lineRule="atLeast"/>
        <w:ind w:left="375"/>
        <w:rPr>
          <w:rFonts w:ascii="Arial" w:eastAsia="Times New Roman" w:hAnsi="Arial" w:cs="Arial"/>
          <w:color w:val="252525"/>
          <w:sz w:val="24"/>
          <w:szCs w:val="24"/>
        </w:rPr>
      </w:pPr>
      <w:hyperlink r:id="rId14" w:anchor=".180" w:history="1">
        <w:r w:rsidRPr="008E2913">
          <w:rPr>
            <w:rFonts w:ascii="Arial" w:eastAsia="Times New Roman" w:hAnsi="Arial" w:cs="Arial"/>
            <w:color w:val="305CB6"/>
            <w:sz w:val="24"/>
            <w:szCs w:val="24"/>
          </w:rPr>
          <w:t>.180 LIMITS</w:t>
        </w:r>
      </w:hyperlink>
    </w:p>
    <w:p w:rsidR="008E2913" w:rsidRPr="008E2913" w:rsidRDefault="008E2913" w:rsidP="008E2913">
      <w:pPr>
        <w:numPr>
          <w:ilvl w:val="0"/>
          <w:numId w:val="1"/>
        </w:numPr>
        <w:shd w:val="clear" w:color="auto" w:fill="F4F2EC"/>
        <w:spacing w:before="100" w:beforeAutospacing="1" w:after="90" w:line="300" w:lineRule="atLeast"/>
        <w:ind w:left="375"/>
        <w:rPr>
          <w:rFonts w:ascii="Arial" w:eastAsia="Times New Roman" w:hAnsi="Arial" w:cs="Arial"/>
          <w:color w:val="252525"/>
          <w:sz w:val="24"/>
          <w:szCs w:val="24"/>
        </w:rPr>
      </w:pPr>
      <w:hyperlink r:id="rId15" w:anchor=".190" w:history="1">
        <w:r w:rsidRPr="008E2913">
          <w:rPr>
            <w:rFonts w:ascii="Arial" w:eastAsia="Times New Roman" w:hAnsi="Arial" w:cs="Arial"/>
            <w:color w:val="305CB6"/>
            <w:sz w:val="24"/>
            <w:szCs w:val="24"/>
          </w:rPr>
          <w:t>.190 RELOCATION EXPENSE REIMBURSEMENT REQUEST</w:t>
        </w:r>
      </w:hyperlink>
    </w:p>
    <w:p w:rsidR="008E2913" w:rsidRPr="008E2913" w:rsidRDefault="008E2913" w:rsidP="008E2913">
      <w:pPr>
        <w:numPr>
          <w:ilvl w:val="0"/>
          <w:numId w:val="1"/>
        </w:numPr>
        <w:shd w:val="clear" w:color="auto" w:fill="F4F2EC"/>
        <w:spacing w:before="100" w:beforeAutospacing="1" w:after="90" w:line="300" w:lineRule="atLeast"/>
        <w:ind w:left="375"/>
        <w:rPr>
          <w:rFonts w:ascii="Arial" w:eastAsia="Times New Roman" w:hAnsi="Arial" w:cs="Arial"/>
          <w:color w:val="252525"/>
          <w:sz w:val="24"/>
          <w:szCs w:val="24"/>
        </w:rPr>
      </w:pPr>
      <w:hyperlink r:id="rId16" w:anchor=".200" w:history="1">
        <w:r w:rsidRPr="008E2913">
          <w:rPr>
            <w:rFonts w:ascii="Arial" w:eastAsia="Times New Roman" w:hAnsi="Arial" w:cs="Arial"/>
            <w:color w:val="305CB6"/>
            <w:sz w:val="24"/>
            <w:szCs w:val="24"/>
          </w:rPr>
          <w:t>.200 REIMBURSEMENT RATES</w:t>
        </w:r>
      </w:hyperlink>
    </w:p>
    <w:p w:rsidR="008E2913" w:rsidRPr="008E2913" w:rsidRDefault="008E2913" w:rsidP="008E2913">
      <w:pPr>
        <w:numPr>
          <w:ilvl w:val="0"/>
          <w:numId w:val="1"/>
        </w:numPr>
        <w:shd w:val="clear" w:color="auto" w:fill="F4F2EC"/>
        <w:spacing w:before="100" w:beforeAutospacing="1" w:after="90" w:line="300" w:lineRule="atLeast"/>
        <w:ind w:left="375"/>
        <w:rPr>
          <w:rFonts w:ascii="Arial" w:eastAsia="Times New Roman" w:hAnsi="Arial" w:cs="Arial"/>
          <w:color w:val="252525"/>
          <w:sz w:val="24"/>
          <w:szCs w:val="24"/>
        </w:rPr>
      </w:pPr>
      <w:hyperlink r:id="rId17" w:anchor=".210" w:history="1">
        <w:r w:rsidRPr="008E2913">
          <w:rPr>
            <w:rFonts w:ascii="Arial" w:eastAsia="Times New Roman" w:hAnsi="Arial" w:cs="Arial"/>
            <w:color w:val="305CB6"/>
            <w:sz w:val="24"/>
            <w:szCs w:val="24"/>
          </w:rPr>
          <w:t>.210 TAX CONSIDERATIONS</w:t>
        </w:r>
      </w:hyperlink>
    </w:p>
    <w:p w:rsidR="008E2913" w:rsidRPr="008E2913" w:rsidRDefault="008E2913" w:rsidP="008E2913">
      <w:pPr>
        <w:numPr>
          <w:ilvl w:val="0"/>
          <w:numId w:val="1"/>
        </w:numPr>
        <w:shd w:val="clear" w:color="auto" w:fill="F4F2EC"/>
        <w:spacing w:before="100" w:beforeAutospacing="1" w:after="90" w:line="300" w:lineRule="atLeast"/>
        <w:ind w:left="375"/>
        <w:rPr>
          <w:rFonts w:ascii="Arial" w:eastAsia="Times New Roman" w:hAnsi="Arial" w:cs="Arial"/>
          <w:color w:val="252525"/>
          <w:sz w:val="24"/>
          <w:szCs w:val="24"/>
        </w:rPr>
      </w:pPr>
      <w:hyperlink r:id="rId18" w:anchor=".690" w:history="1">
        <w:r w:rsidRPr="008E2913">
          <w:rPr>
            <w:rFonts w:ascii="Arial" w:eastAsia="Times New Roman" w:hAnsi="Arial" w:cs="Arial"/>
            <w:color w:val="305CB6"/>
            <w:sz w:val="24"/>
            <w:szCs w:val="24"/>
          </w:rPr>
          <w:t>.690 CONTACT INFORMATION</w:t>
        </w:r>
      </w:hyperlink>
    </w:p>
    <w:p w:rsidR="008E2913" w:rsidRPr="008E2913" w:rsidRDefault="008E2913" w:rsidP="008E2913">
      <w:pPr>
        <w:numPr>
          <w:ilvl w:val="0"/>
          <w:numId w:val="1"/>
        </w:numPr>
        <w:shd w:val="clear" w:color="auto" w:fill="F4F2EC"/>
        <w:spacing w:before="100" w:beforeAutospacing="1" w:after="90" w:line="300" w:lineRule="atLeast"/>
        <w:ind w:left="375"/>
        <w:rPr>
          <w:rFonts w:ascii="Arial" w:eastAsia="Times New Roman" w:hAnsi="Arial" w:cs="Arial"/>
          <w:color w:val="252525"/>
          <w:sz w:val="24"/>
          <w:szCs w:val="24"/>
        </w:rPr>
      </w:pPr>
      <w:hyperlink r:id="rId19" w:anchor=".695" w:history="1">
        <w:r w:rsidRPr="008E2913">
          <w:rPr>
            <w:rFonts w:ascii="Arial" w:eastAsia="Times New Roman" w:hAnsi="Arial" w:cs="Arial"/>
            <w:color w:val="305CB6"/>
            <w:sz w:val="24"/>
            <w:szCs w:val="24"/>
          </w:rPr>
          <w:t>.695 HISTORY</w:t>
        </w:r>
      </w:hyperlink>
    </w:p>
    <w:p w:rsidR="008E2913" w:rsidRPr="008E2913" w:rsidRDefault="008E2913" w:rsidP="008E2913">
      <w:pPr>
        <w:shd w:val="clear" w:color="auto" w:fill="F4F2EC"/>
        <w:spacing w:before="270" w:after="75" w:line="660" w:lineRule="atLeast"/>
        <w:outlineLvl w:val="2"/>
        <w:rPr>
          <w:rFonts w:ascii="inherit" w:eastAsia="Times New Roman" w:hAnsi="inherit" w:cs="Arial"/>
          <w:b/>
          <w:bCs/>
          <w:color w:val="660000"/>
          <w:sz w:val="29"/>
          <w:szCs w:val="29"/>
        </w:rPr>
      </w:pPr>
      <w:r w:rsidRPr="008E2913">
        <w:rPr>
          <w:rFonts w:ascii="inherit" w:eastAsia="Times New Roman" w:hAnsi="inherit" w:cs="Arial"/>
          <w:b/>
          <w:bCs/>
          <w:color w:val="660000"/>
          <w:sz w:val="29"/>
          <w:szCs w:val="29"/>
        </w:rPr>
        <w:t>APPENDIX</w:t>
      </w:r>
    </w:p>
    <w:p w:rsidR="008E2913" w:rsidRPr="008E2913" w:rsidRDefault="008E2913" w:rsidP="008E2913">
      <w:pPr>
        <w:numPr>
          <w:ilvl w:val="0"/>
          <w:numId w:val="2"/>
        </w:numPr>
        <w:shd w:val="clear" w:color="auto" w:fill="F4F2EC"/>
        <w:spacing w:before="100" w:beforeAutospacing="1" w:after="90" w:line="300" w:lineRule="atLeast"/>
        <w:ind w:left="375"/>
        <w:rPr>
          <w:rFonts w:ascii="Arial" w:eastAsia="Times New Roman" w:hAnsi="Arial" w:cs="Arial"/>
          <w:color w:val="252525"/>
          <w:sz w:val="24"/>
          <w:szCs w:val="24"/>
        </w:rPr>
      </w:pPr>
      <w:hyperlink r:id="rId20" w:anchor=".700" w:history="1">
        <w:r w:rsidRPr="008E2913">
          <w:rPr>
            <w:rFonts w:ascii="Arial" w:eastAsia="Times New Roman" w:hAnsi="Arial" w:cs="Arial"/>
            <w:color w:val="305CB6"/>
            <w:sz w:val="24"/>
            <w:szCs w:val="24"/>
          </w:rPr>
          <w:t>.700 TABLES AND FORMS</w:t>
        </w:r>
      </w:hyperlink>
    </w:p>
    <w:p w:rsidR="008E2913" w:rsidRPr="008E2913" w:rsidRDefault="008E2913" w:rsidP="008E2913">
      <w:pPr>
        <w:numPr>
          <w:ilvl w:val="0"/>
          <w:numId w:val="2"/>
        </w:numPr>
        <w:shd w:val="clear" w:color="auto" w:fill="F4F2EC"/>
        <w:spacing w:before="100" w:beforeAutospacing="1" w:after="90" w:line="300" w:lineRule="atLeast"/>
        <w:ind w:left="375"/>
        <w:rPr>
          <w:rFonts w:ascii="Arial" w:eastAsia="Times New Roman" w:hAnsi="Arial" w:cs="Arial"/>
          <w:color w:val="252525"/>
          <w:sz w:val="24"/>
          <w:szCs w:val="24"/>
        </w:rPr>
      </w:pPr>
      <w:hyperlink r:id="rId21" w:anchor=".710" w:history="1">
        <w:r w:rsidRPr="008E2913">
          <w:rPr>
            <w:rFonts w:ascii="Arial" w:eastAsia="Times New Roman" w:hAnsi="Arial" w:cs="Arial"/>
            <w:color w:val="305CB6"/>
            <w:sz w:val="24"/>
            <w:szCs w:val="24"/>
          </w:rPr>
          <w:t>.710 NON-TAXABLE REIMBURSEMENTS</w:t>
        </w:r>
      </w:hyperlink>
    </w:p>
    <w:p w:rsidR="008E2913" w:rsidRPr="008E2913" w:rsidRDefault="008E2913" w:rsidP="008E2913">
      <w:pPr>
        <w:numPr>
          <w:ilvl w:val="0"/>
          <w:numId w:val="2"/>
        </w:numPr>
        <w:shd w:val="clear" w:color="auto" w:fill="F4F2EC"/>
        <w:spacing w:before="100" w:beforeAutospacing="1" w:after="90" w:line="300" w:lineRule="atLeast"/>
        <w:ind w:left="375"/>
        <w:rPr>
          <w:rFonts w:ascii="Arial" w:eastAsia="Times New Roman" w:hAnsi="Arial" w:cs="Arial"/>
          <w:color w:val="252525"/>
          <w:sz w:val="24"/>
          <w:szCs w:val="24"/>
        </w:rPr>
      </w:pPr>
      <w:hyperlink r:id="rId22" w:anchor=".720" w:history="1">
        <w:r w:rsidRPr="008E2913">
          <w:rPr>
            <w:rFonts w:ascii="Arial" w:eastAsia="Times New Roman" w:hAnsi="Arial" w:cs="Arial"/>
            <w:color w:val="305CB6"/>
            <w:sz w:val="24"/>
            <w:szCs w:val="24"/>
          </w:rPr>
          <w:t>.720 TAXABLE REIMBURSEMENTS</w:t>
        </w:r>
      </w:hyperlink>
    </w:p>
    <w:p w:rsidR="008E2913" w:rsidRPr="008E2913" w:rsidRDefault="008E2913" w:rsidP="008E2913">
      <w:pPr>
        <w:numPr>
          <w:ilvl w:val="0"/>
          <w:numId w:val="2"/>
        </w:numPr>
        <w:shd w:val="clear" w:color="auto" w:fill="F4F2EC"/>
        <w:spacing w:before="100" w:beforeAutospacing="1" w:after="90" w:line="300" w:lineRule="atLeast"/>
        <w:ind w:left="375"/>
        <w:rPr>
          <w:rFonts w:ascii="Arial" w:eastAsia="Times New Roman" w:hAnsi="Arial" w:cs="Arial"/>
          <w:color w:val="252525"/>
          <w:sz w:val="24"/>
          <w:szCs w:val="24"/>
        </w:rPr>
      </w:pPr>
      <w:hyperlink r:id="rId23" w:anchor=".995" w:history="1">
        <w:r w:rsidRPr="008E2913">
          <w:rPr>
            <w:rFonts w:ascii="Arial" w:eastAsia="Times New Roman" w:hAnsi="Arial" w:cs="Arial"/>
            <w:color w:val="305CB6"/>
            <w:sz w:val="24"/>
            <w:szCs w:val="24"/>
          </w:rPr>
          <w:t>.995 HISTORY</w:t>
        </w:r>
      </w:hyperlink>
    </w:p>
    <w:p w:rsidR="008E2913" w:rsidRPr="008E2913" w:rsidRDefault="008E2913" w:rsidP="008E2913">
      <w:pPr>
        <w:shd w:val="clear" w:color="auto" w:fill="F4F2EC"/>
        <w:spacing w:before="330" w:after="330" w:line="330" w:lineRule="atLeast"/>
        <w:rPr>
          <w:rFonts w:ascii="Arial" w:eastAsia="Times New Roman" w:hAnsi="Arial" w:cs="Arial"/>
          <w:color w:val="252525"/>
          <w:sz w:val="24"/>
          <w:szCs w:val="24"/>
        </w:rPr>
      </w:pPr>
      <w:r w:rsidRPr="008E2913">
        <w:rPr>
          <w:rFonts w:ascii="Arial" w:eastAsia="Times New Roman" w:hAnsi="Arial" w:cs="Arial"/>
          <w:color w:val="252525"/>
          <w:sz w:val="24"/>
          <w:szCs w:val="24"/>
        </w:rPr>
        <w:lastRenderedPageBreak/>
        <w:pict>
          <v:rect id="_x0000_i1025" style="width:0;height:.75pt" o:hralign="center" o:hrstd="t" o:hr="t" fillcolor="#a0a0a0" stroked="f"/>
        </w:pict>
      </w:r>
    </w:p>
    <w:p w:rsidR="008E2913" w:rsidRPr="008E2913" w:rsidRDefault="008E2913" w:rsidP="008E2913">
      <w:pPr>
        <w:shd w:val="clear" w:color="auto" w:fill="F4F2EC"/>
        <w:spacing w:before="270" w:after="75" w:line="660" w:lineRule="atLeast"/>
        <w:outlineLvl w:val="2"/>
        <w:rPr>
          <w:rFonts w:ascii="inherit" w:eastAsia="Times New Roman" w:hAnsi="inherit" w:cs="Arial"/>
          <w:b/>
          <w:bCs/>
          <w:color w:val="660000"/>
          <w:sz w:val="29"/>
          <w:szCs w:val="29"/>
        </w:rPr>
      </w:pPr>
      <w:r w:rsidRPr="008E2913">
        <w:rPr>
          <w:rFonts w:ascii="inherit" w:eastAsia="Times New Roman" w:hAnsi="inherit" w:cs="Arial"/>
          <w:b/>
          <w:bCs/>
          <w:color w:val="660000"/>
          <w:sz w:val="29"/>
          <w:szCs w:val="29"/>
        </w:rPr>
        <w:t>POLICY</w:t>
      </w:r>
    </w:p>
    <w:p w:rsidR="008E2913" w:rsidRPr="008E2913" w:rsidRDefault="008E2913" w:rsidP="008E2913">
      <w:pPr>
        <w:shd w:val="clear" w:color="auto" w:fill="F4F2EC"/>
        <w:spacing w:before="330" w:after="330" w:line="330" w:lineRule="atLeast"/>
        <w:rPr>
          <w:rFonts w:ascii="Arial" w:eastAsia="Times New Roman" w:hAnsi="Arial" w:cs="Arial"/>
          <w:color w:val="252525"/>
          <w:sz w:val="24"/>
          <w:szCs w:val="24"/>
        </w:rPr>
      </w:pPr>
      <w:r w:rsidRPr="008E2913">
        <w:rPr>
          <w:rFonts w:ascii="Arial" w:eastAsia="Times New Roman" w:hAnsi="Arial" w:cs="Arial"/>
          <w:color w:val="252525"/>
          <w:sz w:val="24"/>
          <w:szCs w:val="24"/>
        </w:rPr>
        <w:pict>
          <v:rect id="_x0000_i1026" style="width:0;height:.75pt" o:hralign="center" o:hrstd="t" o:hr="t" fillcolor="#a0a0a0" stroked="f"/>
        </w:pict>
      </w:r>
    </w:p>
    <w:p w:rsidR="008E2913" w:rsidRPr="008E2913" w:rsidRDefault="008E2913" w:rsidP="008E2913">
      <w:pPr>
        <w:shd w:val="clear" w:color="auto" w:fill="F4F2EC"/>
        <w:spacing w:after="225" w:line="330" w:lineRule="atLeast"/>
        <w:rPr>
          <w:rFonts w:ascii="Arial" w:eastAsia="Times New Roman" w:hAnsi="Arial" w:cs="Arial"/>
          <w:color w:val="252525"/>
          <w:sz w:val="24"/>
          <w:szCs w:val="24"/>
        </w:rPr>
      </w:pPr>
      <w:bookmarkStart w:id="1" w:name=".100"/>
      <w:bookmarkEnd w:id="1"/>
      <w:r w:rsidRPr="008E2913">
        <w:rPr>
          <w:rFonts w:ascii="Arial" w:eastAsia="Times New Roman" w:hAnsi="Arial" w:cs="Arial"/>
          <w:b/>
          <w:bCs/>
          <w:color w:val="252525"/>
          <w:sz w:val="24"/>
          <w:szCs w:val="24"/>
        </w:rPr>
        <w:t>.100</w:t>
      </w:r>
      <w:proofErr w:type="gramStart"/>
      <w:r w:rsidRPr="008E2913">
        <w:rPr>
          <w:rFonts w:ascii="Arial" w:eastAsia="Times New Roman" w:hAnsi="Arial" w:cs="Arial"/>
          <w:b/>
          <w:bCs/>
          <w:color w:val="252525"/>
          <w:sz w:val="24"/>
          <w:szCs w:val="24"/>
        </w:rPr>
        <w:t>  POLICY</w:t>
      </w:r>
      <w:proofErr w:type="gramEnd"/>
      <w:r w:rsidRPr="008E2913">
        <w:rPr>
          <w:rFonts w:ascii="Arial" w:eastAsia="Times New Roman" w:hAnsi="Arial" w:cs="Arial"/>
          <w:b/>
          <w:bCs/>
          <w:color w:val="252525"/>
          <w:sz w:val="24"/>
          <w:szCs w:val="24"/>
        </w:rPr>
        <w:t xml:space="preserve"> STATEMENT </w:t>
      </w:r>
    </w:p>
    <w:p w:rsidR="008E2913" w:rsidRPr="008E2913" w:rsidRDefault="008E2913" w:rsidP="008E2913">
      <w:pPr>
        <w:shd w:val="clear" w:color="auto" w:fill="F4F2EC"/>
        <w:spacing w:after="225" w:line="330" w:lineRule="atLeast"/>
        <w:rPr>
          <w:rFonts w:ascii="Arial" w:eastAsia="Times New Roman" w:hAnsi="Arial" w:cs="Arial"/>
          <w:color w:val="252525"/>
          <w:sz w:val="24"/>
          <w:szCs w:val="24"/>
        </w:rPr>
      </w:pPr>
      <w:r w:rsidRPr="008E2913">
        <w:rPr>
          <w:rFonts w:ascii="Arial" w:eastAsia="Times New Roman" w:hAnsi="Arial" w:cs="Arial"/>
          <w:color w:val="252525"/>
          <w:sz w:val="24"/>
          <w:szCs w:val="24"/>
        </w:rPr>
        <w:t>It is OUS policy to allow employees to be reimbursed for moving expenses, house-hunting expenses, and temporary living expenses arising from a new appointment or transfer. This policy meets the requirements of an IRS-accountable plan. Limits for each type of expense are determined on a case-by-case basis as part of the employment negotiation process. Negotiated limits may not exceed the maximum amounts shown and are subject to budget availability and individual campus policy.</w:t>
      </w:r>
    </w:p>
    <w:p w:rsidR="008E2913" w:rsidRPr="008E2913" w:rsidRDefault="008E2913" w:rsidP="008E2913">
      <w:pPr>
        <w:shd w:val="clear" w:color="auto" w:fill="F4F2EC"/>
        <w:spacing w:after="225" w:line="330" w:lineRule="atLeast"/>
        <w:rPr>
          <w:rFonts w:ascii="Arial" w:eastAsia="Times New Roman" w:hAnsi="Arial" w:cs="Arial"/>
          <w:color w:val="252525"/>
          <w:sz w:val="24"/>
          <w:szCs w:val="24"/>
        </w:rPr>
      </w:pPr>
      <w:r w:rsidRPr="008E2913">
        <w:rPr>
          <w:rFonts w:ascii="Arial" w:eastAsia="Times New Roman" w:hAnsi="Arial" w:cs="Arial"/>
          <w:color w:val="252525"/>
          <w:sz w:val="24"/>
          <w:szCs w:val="24"/>
        </w:rPr>
        <w:t xml:space="preserve">This policy </w:t>
      </w:r>
      <w:proofErr w:type="spellStart"/>
      <w:r w:rsidRPr="008E2913">
        <w:rPr>
          <w:rFonts w:ascii="Arial" w:eastAsia="Times New Roman" w:hAnsi="Arial" w:cs="Arial"/>
          <w:color w:val="252525"/>
          <w:sz w:val="24"/>
          <w:szCs w:val="24"/>
        </w:rPr>
        <w:t>supercedes</w:t>
      </w:r>
      <w:proofErr w:type="spellEnd"/>
      <w:r w:rsidRPr="008E2913">
        <w:rPr>
          <w:rFonts w:ascii="Arial" w:eastAsia="Times New Roman" w:hAnsi="Arial" w:cs="Arial"/>
          <w:color w:val="252525"/>
          <w:sz w:val="24"/>
          <w:szCs w:val="24"/>
        </w:rPr>
        <w:t xml:space="preserve"> FASOM Section 10.91: Compensation -- Fringe Benefits -- Moving Expenses.</w:t>
      </w:r>
    </w:p>
    <w:p w:rsidR="008E2913" w:rsidRPr="008E2913" w:rsidRDefault="008E2913" w:rsidP="008E2913">
      <w:pPr>
        <w:shd w:val="clear" w:color="auto" w:fill="F4F2EC"/>
        <w:spacing w:after="225" w:line="330" w:lineRule="atLeast"/>
        <w:rPr>
          <w:rFonts w:ascii="Arial" w:eastAsia="Times New Roman" w:hAnsi="Arial" w:cs="Arial"/>
          <w:color w:val="252525"/>
          <w:sz w:val="24"/>
          <w:szCs w:val="24"/>
        </w:rPr>
      </w:pPr>
      <w:bookmarkStart w:id="2" w:name=".110"/>
      <w:bookmarkEnd w:id="2"/>
      <w:r w:rsidRPr="008E2913">
        <w:rPr>
          <w:rFonts w:ascii="Arial" w:eastAsia="Times New Roman" w:hAnsi="Arial" w:cs="Arial"/>
          <w:b/>
          <w:bCs/>
          <w:color w:val="252525"/>
          <w:sz w:val="24"/>
          <w:szCs w:val="24"/>
        </w:rPr>
        <w:t>.110</w:t>
      </w:r>
      <w:proofErr w:type="gramStart"/>
      <w:r w:rsidRPr="008E2913">
        <w:rPr>
          <w:rFonts w:ascii="Arial" w:eastAsia="Times New Roman" w:hAnsi="Arial" w:cs="Arial"/>
          <w:b/>
          <w:bCs/>
          <w:color w:val="252525"/>
          <w:sz w:val="24"/>
          <w:szCs w:val="24"/>
        </w:rPr>
        <w:t>  POLICY</w:t>
      </w:r>
      <w:proofErr w:type="gramEnd"/>
      <w:r w:rsidRPr="008E2913">
        <w:rPr>
          <w:rFonts w:ascii="Arial" w:eastAsia="Times New Roman" w:hAnsi="Arial" w:cs="Arial"/>
          <w:b/>
          <w:bCs/>
          <w:color w:val="252525"/>
          <w:sz w:val="24"/>
          <w:szCs w:val="24"/>
        </w:rPr>
        <w:t xml:space="preserve"> RATIONALE</w:t>
      </w:r>
    </w:p>
    <w:p w:rsidR="008E2913" w:rsidRPr="008E2913" w:rsidRDefault="008E2913" w:rsidP="008E2913">
      <w:pPr>
        <w:shd w:val="clear" w:color="auto" w:fill="F4F2EC"/>
        <w:spacing w:after="225" w:line="330" w:lineRule="atLeast"/>
        <w:rPr>
          <w:rFonts w:ascii="Arial" w:eastAsia="Times New Roman" w:hAnsi="Arial" w:cs="Arial"/>
          <w:color w:val="252525"/>
          <w:sz w:val="24"/>
          <w:szCs w:val="24"/>
        </w:rPr>
      </w:pPr>
      <w:r w:rsidRPr="008E2913">
        <w:rPr>
          <w:rFonts w:ascii="Arial" w:eastAsia="Times New Roman" w:hAnsi="Arial" w:cs="Arial"/>
          <w:color w:val="252525"/>
          <w:sz w:val="24"/>
          <w:szCs w:val="24"/>
        </w:rPr>
        <w:t>OUS seeks to ensure that the policies and procedures related to moving expenses are documented, communicated, clearly understood, and consistently applied.</w:t>
      </w:r>
    </w:p>
    <w:p w:rsidR="008E2913" w:rsidRPr="008E2913" w:rsidRDefault="008E2913" w:rsidP="008E2913">
      <w:pPr>
        <w:shd w:val="clear" w:color="auto" w:fill="F4F2EC"/>
        <w:spacing w:after="225" w:line="330" w:lineRule="atLeast"/>
        <w:rPr>
          <w:rFonts w:ascii="Arial" w:eastAsia="Times New Roman" w:hAnsi="Arial" w:cs="Arial"/>
          <w:color w:val="252525"/>
          <w:sz w:val="24"/>
          <w:szCs w:val="24"/>
        </w:rPr>
      </w:pPr>
      <w:bookmarkStart w:id="3" w:name=".120"/>
      <w:bookmarkEnd w:id="3"/>
      <w:r w:rsidRPr="008E2913">
        <w:rPr>
          <w:rFonts w:ascii="Arial" w:eastAsia="Times New Roman" w:hAnsi="Arial" w:cs="Arial"/>
          <w:b/>
          <w:bCs/>
          <w:color w:val="252525"/>
          <w:sz w:val="24"/>
          <w:szCs w:val="24"/>
        </w:rPr>
        <w:t>.120</w:t>
      </w:r>
      <w:proofErr w:type="gramStart"/>
      <w:r w:rsidRPr="008E2913">
        <w:rPr>
          <w:rFonts w:ascii="Arial" w:eastAsia="Times New Roman" w:hAnsi="Arial" w:cs="Arial"/>
          <w:b/>
          <w:bCs/>
          <w:color w:val="252525"/>
          <w:sz w:val="24"/>
          <w:szCs w:val="24"/>
        </w:rPr>
        <w:t>  AUTHORITY</w:t>
      </w:r>
      <w:proofErr w:type="gramEnd"/>
    </w:p>
    <w:p w:rsidR="008E2913" w:rsidRPr="008E2913" w:rsidRDefault="008E2913" w:rsidP="008E2913">
      <w:pPr>
        <w:shd w:val="clear" w:color="auto" w:fill="F4F2EC"/>
        <w:spacing w:after="225" w:line="330" w:lineRule="atLeast"/>
        <w:rPr>
          <w:rFonts w:ascii="Arial" w:eastAsia="Times New Roman" w:hAnsi="Arial" w:cs="Arial"/>
          <w:color w:val="252525"/>
          <w:sz w:val="24"/>
          <w:szCs w:val="24"/>
        </w:rPr>
      </w:pPr>
      <w:r w:rsidRPr="008E2913">
        <w:rPr>
          <w:rFonts w:ascii="Arial" w:eastAsia="Times New Roman" w:hAnsi="Arial" w:cs="Arial"/>
          <w:color w:val="252525"/>
          <w:sz w:val="24"/>
          <w:szCs w:val="24"/>
        </w:rPr>
        <w:t>The basis for this policy is provided in the following:</w:t>
      </w:r>
    </w:p>
    <w:p w:rsidR="008E2913" w:rsidRPr="008E2913" w:rsidRDefault="008E2913" w:rsidP="008E2913">
      <w:pPr>
        <w:numPr>
          <w:ilvl w:val="0"/>
          <w:numId w:val="3"/>
        </w:numPr>
        <w:shd w:val="clear" w:color="auto" w:fill="F4F2EC"/>
        <w:spacing w:before="100" w:beforeAutospacing="1" w:after="90" w:line="300" w:lineRule="atLeast"/>
        <w:ind w:left="375"/>
        <w:rPr>
          <w:rFonts w:ascii="Arial" w:eastAsia="Times New Roman" w:hAnsi="Arial" w:cs="Arial"/>
          <w:color w:val="252525"/>
          <w:sz w:val="24"/>
          <w:szCs w:val="24"/>
        </w:rPr>
      </w:pPr>
      <w:hyperlink r:id="rId24" w:history="1">
        <w:r w:rsidRPr="008E2913">
          <w:rPr>
            <w:rFonts w:ascii="Arial" w:eastAsia="Times New Roman" w:hAnsi="Arial" w:cs="Arial"/>
            <w:color w:val="305CB6"/>
            <w:sz w:val="24"/>
            <w:szCs w:val="24"/>
          </w:rPr>
          <w:t>Department of Administrative Services (DAS) Oregon Accounting Manual (OAM) 40.10.00 PO, Statewide Travel Policy</w:t>
        </w:r>
      </w:hyperlink>
    </w:p>
    <w:p w:rsidR="008E2913" w:rsidRPr="008E2913" w:rsidRDefault="008E2913" w:rsidP="008E2913">
      <w:pPr>
        <w:numPr>
          <w:ilvl w:val="0"/>
          <w:numId w:val="3"/>
        </w:numPr>
        <w:shd w:val="clear" w:color="auto" w:fill="F4F2EC"/>
        <w:spacing w:before="100" w:beforeAutospacing="1" w:after="90" w:line="300" w:lineRule="atLeast"/>
        <w:ind w:left="375"/>
        <w:rPr>
          <w:rFonts w:ascii="Arial" w:eastAsia="Times New Roman" w:hAnsi="Arial" w:cs="Arial"/>
          <w:color w:val="252525"/>
          <w:sz w:val="24"/>
          <w:szCs w:val="24"/>
        </w:rPr>
      </w:pPr>
      <w:hyperlink r:id="rId25" w:history="1">
        <w:r w:rsidRPr="008E2913">
          <w:rPr>
            <w:rFonts w:ascii="Arial" w:eastAsia="Times New Roman" w:hAnsi="Arial" w:cs="Arial"/>
            <w:color w:val="305CB6"/>
            <w:sz w:val="24"/>
            <w:szCs w:val="24"/>
          </w:rPr>
          <w:t>U.S. General Services Administration (GSA)</w:t>
        </w:r>
      </w:hyperlink>
    </w:p>
    <w:p w:rsidR="008E2913" w:rsidRPr="008E2913" w:rsidRDefault="008E2913" w:rsidP="008E2913">
      <w:pPr>
        <w:numPr>
          <w:ilvl w:val="0"/>
          <w:numId w:val="3"/>
        </w:numPr>
        <w:shd w:val="clear" w:color="auto" w:fill="F4F2EC"/>
        <w:spacing w:before="100" w:beforeAutospacing="1" w:after="90" w:line="300" w:lineRule="atLeast"/>
        <w:ind w:left="375"/>
        <w:rPr>
          <w:rFonts w:ascii="Arial" w:eastAsia="Times New Roman" w:hAnsi="Arial" w:cs="Arial"/>
          <w:color w:val="252525"/>
          <w:sz w:val="24"/>
          <w:szCs w:val="24"/>
        </w:rPr>
      </w:pPr>
      <w:hyperlink r:id="rId26" w:history="1">
        <w:r w:rsidRPr="008E2913">
          <w:rPr>
            <w:rFonts w:ascii="Arial" w:eastAsia="Times New Roman" w:hAnsi="Arial" w:cs="Arial"/>
            <w:color w:val="305CB6"/>
            <w:sz w:val="24"/>
            <w:szCs w:val="24"/>
          </w:rPr>
          <w:t>U.S. Internal Revenue Service (IRS)</w:t>
        </w:r>
      </w:hyperlink>
    </w:p>
    <w:p w:rsidR="008E2913" w:rsidRPr="008E2913" w:rsidRDefault="008E2913" w:rsidP="008E2913">
      <w:pPr>
        <w:shd w:val="clear" w:color="auto" w:fill="F4F2EC"/>
        <w:spacing w:after="225" w:line="330" w:lineRule="atLeast"/>
        <w:rPr>
          <w:rFonts w:ascii="Arial" w:eastAsia="Times New Roman" w:hAnsi="Arial" w:cs="Arial"/>
          <w:color w:val="252525"/>
          <w:sz w:val="24"/>
          <w:szCs w:val="24"/>
        </w:rPr>
      </w:pPr>
      <w:bookmarkStart w:id="4" w:name=".130"/>
      <w:bookmarkEnd w:id="4"/>
      <w:r w:rsidRPr="008E2913">
        <w:rPr>
          <w:rFonts w:ascii="Arial" w:eastAsia="Times New Roman" w:hAnsi="Arial" w:cs="Arial"/>
          <w:b/>
          <w:bCs/>
          <w:color w:val="252525"/>
          <w:sz w:val="24"/>
          <w:szCs w:val="24"/>
        </w:rPr>
        <w:t>.130</w:t>
      </w:r>
      <w:proofErr w:type="gramStart"/>
      <w:r w:rsidRPr="008E2913">
        <w:rPr>
          <w:rFonts w:ascii="Arial" w:eastAsia="Times New Roman" w:hAnsi="Arial" w:cs="Arial"/>
          <w:b/>
          <w:bCs/>
          <w:color w:val="252525"/>
          <w:sz w:val="24"/>
          <w:szCs w:val="24"/>
        </w:rPr>
        <w:t>  APPROVAL</w:t>
      </w:r>
      <w:proofErr w:type="gramEnd"/>
      <w:r w:rsidRPr="008E2913">
        <w:rPr>
          <w:rFonts w:ascii="Arial" w:eastAsia="Times New Roman" w:hAnsi="Arial" w:cs="Arial"/>
          <w:b/>
          <w:bCs/>
          <w:color w:val="252525"/>
          <w:sz w:val="24"/>
          <w:szCs w:val="24"/>
        </w:rPr>
        <w:t xml:space="preserve"> AND EFFECTIVE DATE OF POLICY</w:t>
      </w:r>
    </w:p>
    <w:p w:rsidR="008E2913" w:rsidRPr="008E2913" w:rsidRDefault="008E2913" w:rsidP="008E2913">
      <w:pPr>
        <w:shd w:val="clear" w:color="auto" w:fill="F4F2EC"/>
        <w:spacing w:after="225" w:line="330" w:lineRule="atLeast"/>
        <w:rPr>
          <w:rFonts w:ascii="Arial" w:eastAsia="Times New Roman" w:hAnsi="Arial" w:cs="Arial"/>
          <w:color w:val="252525"/>
          <w:sz w:val="24"/>
          <w:szCs w:val="24"/>
        </w:rPr>
      </w:pPr>
      <w:r w:rsidRPr="008E2913">
        <w:rPr>
          <w:rFonts w:ascii="Arial" w:eastAsia="Times New Roman" w:hAnsi="Arial" w:cs="Arial"/>
          <w:color w:val="252525"/>
          <w:sz w:val="24"/>
          <w:szCs w:val="24"/>
        </w:rPr>
        <w:t>The reformatting of this policy into the Fiscal Policy Manual format was approved by the Vice Chancellor for Finance and Administration on August 27, 2009. No substantive changes were made to the content of this policy.</w:t>
      </w:r>
    </w:p>
    <w:p w:rsidR="008E2913" w:rsidRPr="008E2913" w:rsidRDefault="008E2913" w:rsidP="008E2913">
      <w:pPr>
        <w:shd w:val="clear" w:color="auto" w:fill="F4F2EC"/>
        <w:spacing w:after="225" w:line="330" w:lineRule="atLeast"/>
        <w:rPr>
          <w:rFonts w:ascii="Arial" w:eastAsia="Times New Roman" w:hAnsi="Arial" w:cs="Arial"/>
          <w:color w:val="252525"/>
          <w:sz w:val="24"/>
          <w:szCs w:val="24"/>
        </w:rPr>
      </w:pPr>
      <w:bookmarkStart w:id="5" w:name=".140"/>
      <w:bookmarkEnd w:id="5"/>
      <w:r w:rsidRPr="008E2913">
        <w:rPr>
          <w:rFonts w:ascii="Arial" w:eastAsia="Times New Roman" w:hAnsi="Arial" w:cs="Arial"/>
          <w:b/>
          <w:bCs/>
          <w:color w:val="252525"/>
          <w:sz w:val="24"/>
          <w:szCs w:val="24"/>
        </w:rPr>
        <w:t>.140</w:t>
      </w:r>
      <w:proofErr w:type="gramStart"/>
      <w:r w:rsidRPr="008E2913">
        <w:rPr>
          <w:rFonts w:ascii="Arial" w:eastAsia="Times New Roman" w:hAnsi="Arial" w:cs="Arial"/>
          <w:b/>
          <w:bCs/>
          <w:color w:val="252525"/>
          <w:sz w:val="24"/>
          <w:szCs w:val="24"/>
        </w:rPr>
        <w:t>  KNOWLEDGE</w:t>
      </w:r>
      <w:proofErr w:type="gramEnd"/>
      <w:r w:rsidRPr="008E2913">
        <w:rPr>
          <w:rFonts w:ascii="Arial" w:eastAsia="Times New Roman" w:hAnsi="Arial" w:cs="Arial"/>
          <w:b/>
          <w:bCs/>
          <w:color w:val="252525"/>
          <w:sz w:val="24"/>
          <w:szCs w:val="24"/>
        </w:rPr>
        <w:t xml:space="preserve"> OF THIS POLICY</w:t>
      </w:r>
    </w:p>
    <w:p w:rsidR="008E2913" w:rsidRPr="008E2913" w:rsidRDefault="008E2913" w:rsidP="008E2913">
      <w:pPr>
        <w:shd w:val="clear" w:color="auto" w:fill="F4F2EC"/>
        <w:spacing w:after="225" w:line="330" w:lineRule="atLeast"/>
        <w:rPr>
          <w:rFonts w:ascii="Arial" w:eastAsia="Times New Roman" w:hAnsi="Arial" w:cs="Arial"/>
          <w:color w:val="252525"/>
          <w:sz w:val="24"/>
          <w:szCs w:val="24"/>
        </w:rPr>
      </w:pPr>
      <w:r w:rsidRPr="008E2913">
        <w:rPr>
          <w:rFonts w:ascii="Arial" w:eastAsia="Times New Roman" w:hAnsi="Arial" w:cs="Arial"/>
          <w:color w:val="252525"/>
          <w:sz w:val="24"/>
          <w:szCs w:val="24"/>
        </w:rPr>
        <w:lastRenderedPageBreak/>
        <w:t>All Chancellor’s Office and institutional personnel should be knowledgeable of this policy.</w:t>
      </w:r>
    </w:p>
    <w:p w:rsidR="008E2913" w:rsidRPr="008E2913" w:rsidRDefault="008E2913" w:rsidP="008E2913">
      <w:pPr>
        <w:shd w:val="clear" w:color="auto" w:fill="F4F2EC"/>
        <w:spacing w:after="225" w:line="330" w:lineRule="atLeast"/>
        <w:rPr>
          <w:rFonts w:ascii="Arial" w:eastAsia="Times New Roman" w:hAnsi="Arial" w:cs="Arial"/>
          <w:color w:val="252525"/>
          <w:sz w:val="24"/>
          <w:szCs w:val="24"/>
        </w:rPr>
      </w:pPr>
      <w:bookmarkStart w:id="6" w:name=".150"/>
      <w:bookmarkEnd w:id="6"/>
      <w:r w:rsidRPr="008E2913">
        <w:rPr>
          <w:rFonts w:ascii="Arial" w:eastAsia="Times New Roman" w:hAnsi="Arial" w:cs="Arial"/>
          <w:b/>
          <w:bCs/>
          <w:color w:val="252525"/>
          <w:sz w:val="24"/>
          <w:szCs w:val="24"/>
        </w:rPr>
        <w:t xml:space="preserve">.150 </w:t>
      </w:r>
      <w:proofErr w:type="gramStart"/>
      <w:r w:rsidRPr="008E2913">
        <w:rPr>
          <w:rFonts w:ascii="Arial" w:eastAsia="Times New Roman" w:hAnsi="Arial" w:cs="Arial"/>
          <w:b/>
          <w:bCs/>
          <w:color w:val="252525"/>
          <w:sz w:val="24"/>
          <w:szCs w:val="24"/>
        </w:rPr>
        <w:t>DEFINITION(</w:t>
      </w:r>
      <w:proofErr w:type="gramEnd"/>
      <w:r w:rsidRPr="008E2913">
        <w:rPr>
          <w:rFonts w:ascii="Arial" w:eastAsia="Times New Roman" w:hAnsi="Arial" w:cs="Arial"/>
          <w:b/>
          <w:bCs/>
          <w:color w:val="252525"/>
          <w:sz w:val="24"/>
          <w:szCs w:val="24"/>
        </w:rPr>
        <w:t>S)</w:t>
      </w:r>
    </w:p>
    <w:p w:rsidR="008E2913" w:rsidRPr="008E2913" w:rsidRDefault="008E2913" w:rsidP="008E2913">
      <w:pPr>
        <w:shd w:val="clear" w:color="auto" w:fill="F4F2EC"/>
        <w:spacing w:after="225" w:line="330" w:lineRule="atLeast"/>
        <w:rPr>
          <w:rFonts w:ascii="Arial" w:eastAsia="Times New Roman" w:hAnsi="Arial" w:cs="Arial"/>
          <w:color w:val="252525"/>
          <w:sz w:val="24"/>
          <w:szCs w:val="24"/>
        </w:rPr>
      </w:pPr>
      <w:r w:rsidRPr="008E2913">
        <w:rPr>
          <w:rFonts w:ascii="Arial" w:eastAsia="Times New Roman" w:hAnsi="Arial" w:cs="Arial"/>
          <w:color w:val="252525"/>
          <w:sz w:val="24"/>
          <w:szCs w:val="24"/>
        </w:rPr>
        <w:t>None</w:t>
      </w:r>
    </w:p>
    <w:p w:rsidR="008E2913" w:rsidRPr="008E2913" w:rsidRDefault="008E2913" w:rsidP="008E2913">
      <w:pPr>
        <w:shd w:val="clear" w:color="auto" w:fill="F4F2EC"/>
        <w:spacing w:after="225" w:line="330" w:lineRule="atLeast"/>
        <w:rPr>
          <w:rFonts w:ascii="Arial" w:eastAsia="Times New Roman" w:hAnsi="Arial" w:cs="Arial"/>
          <w:color w:val="252525"/>
          <w:sz w:val="24"/>
          <w:szCs w:val="24"/>
        </w:rPr>
      </w:pPr>
      <w:bookmarkStart w:id="7" w:name=".160"/>
      <w:bookmarkEnd w:id="7"/>
      <w:r w:rsidRPr="008E2913">
        <w:rPr>
          <w:rFonts w:ascii="Arial" w:eastAsia="Times New Roman" w:hAnsi="Arial" w:cs="Arial"/>
          <w:b/>
          <w:bCs/>
          <w:color w:val="252525"/>
          <w:sz w:val="24"/>
          <w:szCs w:val="24"/>
        </w:rPr>
        <w:t>.160 RESPONSIBILITIES</w:t>
      </w:r>
    </w:p>
    <w:p w:rsidR="008E2913" w:rsidRPr="008E2913" w:rsidRDefault="008E2913" w:rsidP="008E2913">
      <w:pPr>
        <w:shd w:val="clear" w:color="auto" w:fill="F4F2EC"/>
        <w:spacing w:after="225" w:line="330" w:lineRule="atLeast"/>
        <w:rPr>
          <w:rFonts w:ascii="Arial" w:eastAsia="Times New Roman" w:hAnsi="Arial" w:cs="Arial"/>
          <w:color w:val="252525"/>
          <w:sz w:val="24"/>
          <w:szCs w:val="24"/>
        </w:rPr>
      </w:pPr>
      <w:r w:rsidRPr="008E2913">
        <w:rPr>
          <w:rFonts w:ascii="Arial" w:eastAsia="Times New Roman" w:hAnsi="Arial" w:cs="Arial"/>
          <w:b/>
          <w:bCs/>
          <w:color w:val="252525"/>
          <w:sz w:val="24"/>
          <w:szCs w:val="24"/>
        </w:rPr>
        <w:t>1. Oregon State Board of Higher Education</w:t>
      </w:r>
    </w:p>
    <w:p w:rsidR="008E2913" w:rsidRPr="008E2913" w:rsidRDefault="008E2913" w:rsidP="008E2913">
      <w:pPr>
        <w:shd w:val="clear" w:color="auto" w:fill="F4F2EC"/>
        <w:spacing w:line="240" w:lineRule="auto"/>
        <w:rPr>
          <w:rFonts w:ascii="Arial" w:eastAsia="Times New Roman" w:hAnsi="Arial" w:cs="Arial"/>
          <w:i/>
          <w:iCs/>
          <w:color w:val="252525"/>
          <w:sz w:val="30"/>
          <w:szCs w:val="30"/>
        </w:rPr>
      </w:pPr>
      <w:r w:rsidRPr="008E2913">
        <w:rPr>
          <w:rFonts w:ascii="Arial" w:eastAsia="Times New Roman" w:hAnsi="Arial" w:cs="Arial"/>
          <w:i/>
          <w:iCs/>
          <w:color w:val="252525"/>
          <w:sz w:val="30"/>
          <w:szCs w:val="30"/>
        </w:rPr>
        <w:t>The Oregon State Board of Higher Education has authority over the OUS moving expenses policy including the establishment of OUS moving expense reimbursement rates.</w:t>
      </w:r>
    </w:p>
    <w:p w:rsidR="008E2913" w:rsidRPr="008E2913" w:rsidRDefault="008E2913" w:rsidP="008E2913">
      <w:pPr>
        <w:shd w:val="clear" w:color="auto" w:fill="F4F2EC"/>
        <w:spacing w:after="225" w:line="330" w:lineRule="atLeast"/>
        <w:rPr>
          <w:rFonts w:ascii="Arial" w:eastAsia="Times New Roman" w:hAnsi="Arial" w:cs="Arial"/>
          <w:color w:val="252525"/>
          <w:sz w:val="24"/>
          <w:szCs w:val="24"/>
        </w:rPr>
      </w:pPr>
      <w:r w:rsidRPr="008E2913">
        <w:rPr>
          <w:rFonts w:ascii="Arial" w:eastAsia="Times New Roman" w:hAnsi="Arial" w:cs="Arial"/>
          <w:b/>
          <w:bCs/>
          <w:color w:val="252525"/>
          <w:sz w:val="24"/>
          <w:szCs w:val="24"/>
        </w:rPr>
        <w:t>2. Chancellor’s Office</w:t>
      </w:r>
    </w:p>
    <w:p w:rsidR="008E2913" w:rsidRPr="008E2913" w:rsidRDefault="008E2913" w:rsidP="008E2913">
      <w:pPr>
        <w:shd w:val="clear" w:color="auto" w:fill="F4F2EC"/>
        <w:spacing w:line="240" w:lineRule="auto"/>
        <w:rPr>
          <w:rFonts w:ascii="Arial" w:eastAsia="Times New Roman" w:hAnsi="Arial" w:cs="Arial"/>
          <w:i/>
          <w:iCs/>
          <w:color w:val="252525"/>
          <w:sz w:val="30"/>
          <w:szCs w:val="30"/>
        </w:rPr>
      </w:pPr>
      <w:r w:rsidRPr="008E2913">
        <w:rPr>
          <w:rFonts w:ascii="Arial" w:eastAsia="Times New Roman" w:hAnsi="Arial" w:cs="Arial"/>
          <w:i/>
          <w:iCs/>
          <w:color w:val="252525"/>
          <w:sz w:val="30"/>
          <w:szCs w:val="30"/>
        </w:rPr>
        <w:t>The Controller’s Division within the Chancellor’s Office monitors several federal government web sites, which serve as the basis for adjustments made to moving expense reimbursement rates. It is the responsibility of the Controller’s Division to apprise the OUS Chief Bargaining Officer of these rate changes, and to document and communicate these rate changes to OUS institutions.</w:t>
      </w:r>
    </w:p>
    <w:p w:rsidR="008E2913" w:rsidRPr="008E2913" w:rsidRDefault="008E2913" w:rsidP="008E2913">
      <w:pPr>
        <w:shd w:val="clear" w:color="auto" w:fill="F4F2EC"/>
        <w:spacing w:after="225" w:line="330" w:lineRule="atLeast"/>
        <w:rPr>
          <w:rFonts w:ascii="Arial" w:eastAsia="Times New Roman" w:hAnsi="Arial" w:cs="Arial"/>
          <w:color w:val="252525"/>
          <w:sz w:val="24"/>
          <w:szCs w:val="24"/>
        </w:rPr>
      </w:pPr>
      <w:r w:rsidRPr="008E2913">
        <w:rPr>
          <w:rFonts w:ascii="Arial" w:eastAsia="Times New Roman" w:hAnsi="Arial" w:cs="Arial"/>
          <w:b/>
          <w:bCs/>
          <w:color w:val="252525"/>
          <w:sz w:val="24"/>
          <w:szCs w:val="24"/>
        </w:rPr>
        <w:t>3. Institutions</w:t>
      </w:r>
    </w:p>
    <w:p w:rsidR="008E2913" w:rsidRPr="008E2913" w:rsidRDefault="008E2913" w:rsidP="008E2913">
      <w:pPr>
        <w:shd w:val="clear" w:color="auto" w:fill="F4F2EC"/>
        <w:spacing w:line="240" w:lineRule="auto"/>
        <w:rPr>
          <w:rFonts w:ascii="Arial" w:eastAsia="Times New Roman" w:hAnsi="Arial" w:cs="Arial"/>
          <w:i/>
          <w:iCs/>
          <w:color w:val="252525"/>
          <w:sz w:val="30"/>
          <w:szCs w:val="30"/>
        </w:rPr>
      </w:pPr>
      <w:r w:rsidRPr="008E2913">
        <w:rPr>
          <w:rFonts w:ascii="Arial" w:eastAsia="Times New Roman" w:hAnsi="Arial" w:cs="Arial"/>
          <w:i/>
          <w:iCs/>
          <w:color w:val="252525"/>
          <w:sz w:val="30"/>
          <w:szCs w:val="30"/>
        </w:rPr>
        <w:t>Institutions are responsible for ensuring that relocation expense reimbursements comply with OUS policy. The OUS moving expenses policy provides that each institutional president has the discretion to establish their institution's rates below the OUS rate. If the institutional president exercises this option, a copy of the institutionally approved rates will be submitted to the Controller's Division prior to implementation. If the institutional president does not exercise this option, the OUS rates apply.</w:t>
      </w:r>
    </w:p>
    <w:p w:rsidR="008E2913" w:rsidRPr="008E2913" w:rsidRDefault="008E2913" w:rsidP="008E2913">
      <w:pPr>
        <w:shd w:val="clear" w:color="auto" w:fill="F4F2EC"/>
        <w:spacing w:after="225" w:line="330" w:lineRule="atLeast"/>
        <w:rPr>
          <w:rFonts w:ascii="Arial" w:eastAsia="Times New Roman" w:hAnsi="Arial" w:cs="Arial"/>
          <w:color w:val="252525"/>
          <w:sz w:val="24"/>
          <w:szCs w:val="24"/>
        </w:rPr>
      </w:pPr>
      <w:bookmarkStart w:id="8" w:name=".170"/>
      <w:bookmarkEnd w:id="8"/>
      <w:r w:rsidRPr="008E2913">
        <w:rPr>
          <w:rFonts w:ascii="Arial" w:eastAsia="Times New Roman" w:hAnsi="Arial" w:cs="Arial"/>
          <w:b/>
          <w:bCs/>
          <w:color w:val="252525"/>
          <w:sz w:val="24"/>
          <w:szCs w:val="24"/>
        </w:rPr>
        <w:t>.170 POLICY PROVISIONS</w:t>
      </w:r>
    </w:p>
    <w:p w:rsidR="008E2913" w:rsidRPr="008E2913" w:rsidRDefault="008E2913" w:rsidP="008E2913">
      <w:pPr>
        <w:shd w:val="clear" w:color="auto" w:fill="F4F2EC"/>
        <w:spacing w:after="225" w:line="330" w:lineRule="atLeast"/>
        <w:rPr>
          <w:rFonts w:ascii="Arial" w:eastAsia="Times New Roman" w:hAnsi="Arial" w:cs="Arial"/>
          <w:color w:val="252525"/>
          <w:sz w:val="24"/>
          <w:szCs w:val="24"/>
        </w:rPr>
      </w:pPr>
      <w:r w:rsidRPr="008E2913">
        <w:rPr>
          <w:rFonts w:ascii="Arial" w:eastAsia="Times New Roman" w:hAnsi="Arial" w:cs="Arial"/>
          <w:color w:val="252525"/>
          <w:sz w:val="24"/>
          <w:szCs w:val="24"/>
        </w:rPr>
        <w:t xml:space="preserve">An employee must submit a request for reimbursement of relocation expenses within six months of the appointment date. </w:t>
      </w:r>
      <w:proofErr w:type="gramStart"/>
      <w:r w:rsidRPr="008E2913">
        <w:rPr>
          <w:rFonts w:ascii="Arial" w:eastAsia="Times New Roman" w:hAnsi="Arial" w:cs="Arial"/>
          <w:color w:val="252525"/>
          <w:sz w:val="24"/>
          <w:szCs w:val="24"/>
        </w:rPr>
        <w:t>(See Appendix section</w:t>
      </w:r>
      <w:hyperlink r:id="rId27" w:anchor=".700" w:history="1">
        <w:r w:rsidRPr="008E2913">
          <w:rPr>
            <w:rFonts w:ascii="Arial" w:eastAsia="Times New Roman" w:hAnsi="Arial" w:cs="Arial"/>
            <w:color w:val="305CB6"/>
            <w:sz w:val="24"/>
            <w:szCs w:val="24"/>
          </w:rPr>
          <w:t>.700</w:t>
        </w:r>
      </w:hyperlink>
      <w:r w:rsidRPr="008E2913">
        <w:rPr>
          <w:rFonts w:ascii="Arial" w:eastAsia="Times New Roman" w:hAnsi="Arial" w:cs="Arial"/>
          <w:color w:val="252525"/>
          <w:sz w:val="24"/>
          <w:szCs w:val="24"/>
        </w:rPr>
        <w:t>, Tables and Forms, for a sample Request for Reimbursement of Relocation Expenses.)</w:t>
      </w:r>
      <w:proofErr w:type="gramEnd"/>
      <w:r w:rsidRPr="008E2913">
        <w:rPr>
          <w:rFonts w:ascii="Arial" w:eastAsia="Times New Roman" w:hAnsi="Arial" w:cs="Arial"/>
          <w:color w:val="252525"/>
          <w:sz w:val="24"/>
          <w:szCs w:val="24"/>
        </w:rPr>
        <w:t xml:space="preserve"> The employee must submit a written request to extend this period up to an additional six months. Authorized campus personnel may grant the extension.</w:t>
      </w:r>
    </w:p>
    <w:p w:rsidR="008E2913" w:rsidRPr="008E2913" w:rsidRDefault="008E2913" w:rsidP="008E2913">
      <w:pPr>
        <w:shd w:val="clear" w:color="auto" w:fill="F4F2EC"/>
        <w:spacing w:after="225" w:line="330" w:lineRule="atLeast"/>
        <w:rPr>
          <w:rFonts w:ascii="Arial" w:eastAsia="Times New Roman" w:hAnsi="Arial" w:cs="Arial"/>
          <w:color w:val="252525"/>
          <w:sz w:val="24"/>
          <w:szCs w:val="24"/>
        </w:rPr>
      </w:pPr>
      <w:r w:rsidRPr="008E2913">
        <w:rPr>
          <w:rFonts w:ascii="Arial" w:eastAsia="Times New Roman" w:hAnsi="Arial" w:cs="Arial"/>
          <w:color w:val="252525"/>
          <w:sz w:val="24"/>
          <w:szCs w:val="24"/>
        </w:rPr>
        <w:lastRenderedPageBreak/>
        <w:t>An employee may be reimbursed in advance for expenses as determined by authorized campus personnel. Any excess payments advanced must be returned within a reasonable period of time.</w:t>
      </w:r>
    </w:p>
    <w:p w:rsidR="008E2913" w:rsidRPr="008E2913" w:rsidRDefault="008E2913" w:rsidP="008E2913">
      <w:pPr>
        <w:shd w:val="clear" w:color="auto" w:fill="F4F2EC"/>
        <w:spacing w:after="225" w:line="330" w:lineRule="atLeast"/>
        <w:rPr>
          <w:rFonts w:ascii="Arial" w:eastAsia="Times New Roman" w:hAnsi="Arial" w:cs="Arial"/>
          <w:color w:val="252525"/>
          <w:sz w:val="24"/>
          <w:szCs w:val="24"/>
        </w:rPr>
      </w:pPr>
      <w:r w:rsidRPr="008E2913">
        <w:rPr>
          <w:rFonts w:ascii="Arial" w:eastAsia="Times New Roman" w:hAnsi="Arial" w:cs="Arial"/>
          <w:color w:val="252525"/>
          <w:sz w:val="24"/>
          <w:szCs w:val="24"/>
        </w:rPr>
        <w:t>If an approved move is later canceled, the employee may request reimbursement for relocation expenses incurred before cancellation.</w:t>
      </w:r>
    </w:p>
    <w:p w:rsidR="008E2913" w:rsidRPr="008E2913" w:rsidRDefault="008E2913" w:rsidP="008E2913">
      <w:pPr>
        <w:shd w:val="clear" w:color="auto" w:fill="F4F2EC"/>
        <w:spacing w:after="225" w:line="330" w:lineRule="atLeast"/>
        <w:rPr>
          <w:rFonts w:ascii="Arial" w:eastAsia="Times New Roman" w:hAnsi="Arial" w:cs="Arial"/>
          <w:color w:val="252525"/>
          <w:sz w:val="24"/>
          <w:szCs w:val="24"/>
        </w:rPr>
      </w:pPr>
      <w:bookmarkStart w:id="9" w:name=".180"/>
      <w:bookmarkEnd w:id="9"/>
      <w:r w:rsidRPr="008E2913">
        <w:rPr>
          <w:rFonts w:ascii="Arial" w:eastAsia="Times New Roman" w:hAnsi="Arial" w:cs="Arial"/>
          <w:b/>
          <w:bCs/>
          <w:color w:val="252525"/>
          <w:sz w:val="24"/>
          <w:szCs w:val="24"/>
        </w:rPr>
        <w:t>.180 LIMITS</w:t>
      </w:r>
    </w:p>
    <w:p w:rsidR="008E2913" w:rsidRPr="008E2913" w:rsidRDefault="008E2913" w:rsidP="008E2913">
      <w:pPr>
        <w:shd w:val="clear" w:color="auto" w:fill="F4F2EC"/>
        <w:spacing w:after="225" w:line="330" w:lineRule="atLeast"/>
        <w:rPr>
          <w:rFonts w:ascii="Arial" w:eastAsia="Times New Roman" w:hAnsi="Arial" w:cs="Arial"/>
          <w:color w:val="252525"/>
          <w:sz w:val="24"/>
          <w:szCs w:val="24"/>
        </w:rPr>
      </w:pPr>
      <w:r w:rsidRPr="008E2913">
        <w:rPr>
          <w:rFonts w:ascii="Arial" w:eastAsia="Times New Roman" w:hAnsi="Arial" w:cs="Arial"/>
          <w:color w:val="252525"/>
          <w:sz w:val="24"/>
          <w:szCs w:val="24"/>
        </w:rPr>
        <w:t>Limits for each type of expense are determined on a case-by-case basis as part of the employment negotiation process. Negotiated limits may not exceed the maximum amounts shown and are subject to budget availability and individual campus policy.</w:t>
      </w:r>
    </w:p>
    <w:p w:rsidR="008E2913" w:rsidRPr="008E2913" w:rsidRDefault="008E2913" w:rsidP="008E2913">
      <w:pPr>
        <w:shd w:val="clear" w:color="auto" w:fill="F4F2EC"/>
        <w:spacing w:after="225" w:line="330" w:lineRule="atLeast"/>
        <w:rPr>
          <w:rFonts w:ascii="Arial" w:eastAsia="Times New Roman" w:hAnsi="Arial" w:cs="Arial"/>
          <w:color w:val="252525"/>
          <w:sz w:val="24"/>
          <w:szCs w:val="24"/>
        </w:rPr>
      </w:pPr>
      <w:r w:rsidRPr="008E2913">
        <w:rPr>
          <w:rFonts w:ascii="Arial" w:eastAsia="Times New Roman" w:hAnsi="Arial" w:cs="Arial"/>
          <w:b/>
          <w:bCs/>
          <w:color w:val="252525"/>
          <w:sz w:val="24"/>
          <w:szCs w:val="24"/>
        </w:rPr>
        <w:t>1. House-hunting and Moving Trips</w:t>
      </w:r>
    </w:p>
    <w:p w:rsidR="008E2913" w:rsidRPr="008E2913" w:rsidRDefault="008E2913" w:rsidP="008E2913">
      <w:pPr>
        <w:shd w:val="clear" w:color="auto" w:fill="F4F2EC"/>
        <w:spacing w:after="225" w:line="240" w:lineRule="auto"/>
        <w:rPr>
          <w:rFonts w:ascii="Arial" w:eastAsia="Times New Roman" w:hAnsi="Arial" w:cs="Arial"/>
          <w:i/>
          <w:iCs/>
          <w:color w:val="252525"/>
          <w:sz w:val="30"/>
          <w:szCs w:val="30"/>
        </w:rPr>
      </w:pPr>
      <w:r w:rsidRPr="008E2913">
        <w:rPr>
          <w:rFonts w:ascii="Arial" w:eastAsia="Times New Roman" w:hAnsi="Arial" w:cs="Arial"/>
          <w:b/>
          <w:bCs/>
          <w:i/>
          <w:iCs/>
          <w:color w:val="252525"/>
          <w:sz w:val="30"/>
          <w:szCs w:val="30"/>
        </w:rPr>
        <w:t>A.</w:t>
      </w:r>
      <w:r w:rsidRPr="008E2913">
        <w:rPr>
          <w:rFonts w:ascii="Arial" w:eastAsia="Times New Roman" w:hAnsi="Arial" w:cs="Arial"/>
          <w:i/>
          <w:iCs/>
          <w:color w:val="252525"/>
          <w:sz w:val="30"/>
          <w:szCs w:val="30"/>
        </w:rPr>
        <w:t> </w:t>
      </w:r>
      <w:r w:rsidRPr="008E2913">
        <w:rPr>
          <w:rFonts w:ascii="Arial" w:eastAsia="Times New Roman" w:hAnsi="Arial" w:cs="Arial"/>
          <w:i/>
          <w:iCs/>
          <w:color w:val="252525"/>
          <w:sz w:val="30"/>
          <w:szCs w:val="30"/>
          <w:u w:val="single"/>
        </w:rPr>
        <w:t>Salary While House-hunting and Moving</w:t>
      </w:r>
      <w:proofErr w:type="gramStart"/>
      <w:r w:rsidRPr="008E2913">
        <w:rPr>
          <w:rFonts w:ascii="Arial" w:eastAsia="Times New Roman" w:hAnsi="Arial" w:cs="Arial"/>
          <w:i/>
          <w:iCs/>
          <w:color w:val="252525"/>
          <w:sz w:val="30"/>
          <w:szCs w:val="30"/>
          <w:u w:val="single"/>
        </w:rPr>
        <w:t>:</w:t>
      </w:r>
      <w:proofErr w:type="gramEnd"/>
      <w:r w:rsidRPr="008E2913">
        <w:rPr>
          <w:rFonts w:ascii="Arial" w:eastAsia="Times New Roman" w:hAnsi="Arial" w:cs="Arial"/>
          <w:i/>
          <w:iCs/>
          <w:color w:val="252525"/>
          <w:sz w:val="30"/>
          <w:szCs w:val="30"/>
        </w:rPr>
        <w:br/>
      </w:r>
      <w:r w:rsidRPr="008E2913">
        <w:rPr>
          <w:rFonts w:ascii="Arial" w:eastAsia="Times New Roman" w:hAnsi="Arial" w:cs="Arial"/>
          <w:i/>
          <w:iCs/>
          <w:color w:val="252525"/>
          <w:sz w:val="30"/>
          <w:szCs w:val="30"/>
        </w:rPr>
        <w:br/>
        <w:t>An employee may be allowed up to ten days with pay for house-hunting and moving.</w:t>
      </w:r>
    </w:p>
    <w:p w:rsidR="008E2913" w:rsidRPr="008E2913" w:rsidRDefault="008E2913" w:rsidP="008E2913">
      <w:pPr>
        <w:shd w:val="clear" w:color="auto" w:fill="F4F2EC"/>
        <w:spacing w:after="225" w:line="240" w:lineRule="auto"/>
        <w:rPr>
          <w:rFonts w:ascii="Arial" w:eastAsia="Times New Roman" w:hAnsi="Arial" w:cs="Arial"/>
          <w:i/>
          <w:iCs/>
          <w:color w:val="252525"/>
          <w:sz w:val="30"/>
          <w:szCs w:val="30"/>
        </w:rPr>
      </w:pPr>
      <w:r w:rsidRPr="008E2913">
        <w:rPr>
          <w:rFonts w:ascii="Arial" w:eastAsia="Times New Roman" w:hAnsi="Arial" w:cs="Arial"/>
          <w:b/>
          <w:bCs/>
          <w:i/>
          <w:iCs/>
          <w:color w:val="252525"/>
          <w:sz w:val="30"/>
          <w:szCs w:val="30"/>
        </w:rPr>
        <w:t>B.</w:t>
      </w:r>
      <w:r w:rsidRPr="008E2913">
        <w:rPr>
          <w:rFonts w:ascii="Arial" w:eastAsia="Times New Roman" w:hAnsi="Arial" w:cs="Arial"/>
          <w:i/>
          <w:iCs/>
          <w:color w:val="252525"/>
          <w:sz w:val="30"/>
          <w:szCs w:val="30"/>
        </w:rPr>
        <w:t> </w:t>
      </w:r>
      <w:r w:rsidRPr="008E2913">
        <w:rPr>
          <w:rFonts w:ascii="Arial" w:eastAsia="Times New Roman" w:hAnsi="Arial" w:cs="Arial"/>
          <w:i/>
          <w:iCs/>
          <w:color w:val="252525"/>
          <w:sz w:val="30"/>
          <w:szCs w:val="30"/>
          <w:u w:val="single"/>
        </w:rPr>
        <w:t>House-hunting Transportation Between New and Old Location</w:t>
      </w:r>
      <w:proofErr w:type="gramStart"/>
      <w:r w:rsidRPr="008E2913">
        <w:rPr>
          <w:rFonts w:ascii="Arial" w:eastAsia="Times New Roman" w:hAnsi="Arial" w:cs="Arial"/>
          <w:i/>
          <w:iCs/>
          <w:color w:val="252525"/>
          <w:sz w:val="30"/>
          <w:szCs w:val="30"/>
          <w:u w:val="single"/>
        </w:rPr>
        <w:t>:</w:t>
      </w:r>
      <w:proofErr w:type="gramEnd"/>
      <w:r w:rsidRPr="008E2913">
        <w:rPr>
          <w:rFonts w:ascii="Arial" w:eastAsia="Times New Roman" w:hAnsi="Arial" w:cs="Arial"/>
          <w:i/>
          <w:iCs/>
          <w:color w:val="252525"/>
          <w:sz w:val="30"/>
          <w:szCs w:val="30"/>
        </w:rPr>
        <w:br/>
      </w:r>
      <w:r w:rsidRPr="008E2913">
        <w:rPr>
          <w:rFonts w:ascii="Arial" w:eastAsia="Times New Roman" w:hAnsi="Arial" w:cs="Arial"/>
          <w:i/>
          <w:iCs/>
          <w:color w:val="252525"/>
          <w:sz w:val="30"/>
          <w:szCs w:val="30"/>
        </w:rPr>
        <w:br/>
        <w:t>An employee may be reimbursed for the cost of up to two round trips between the new and old location for house-hunting. This may be two round trips for one individual or one round trip for two individuals.</w:t>
      </w:r>
    </w:p>
    <w:p w:rsidR="008E2913" w:rsidRPr="008E2913" w:rsidRDefault="008E2913" w:rsidP="008E2913">
      <w:pPr>
        <w:shd w:val="clear" w:color="auto" w:fill="F4F2EC"/>
        <w:spacing w:after="225" w:line="240" w:lineRule="auto"/>
        <w:rPr>
          <w:rFonts w:ascii="Arial" w:eastAsia="Times New Roman" w:hAnsi="Arial" w:cs="Arial"/>
          <w:i/>
          <w:iCs/>
          <w:color w:val="252525"/>
          <w:sz w:val="30"/>
          <w:szCs w:val="30"/>
        </w:rPr>
      </w:pPr>
      <w:r w:rsidRPr="008E2913">
        <w:rPr>
          <w:rFonts w:ascii="Arial" w:eastAsia="Times New Roman" w:hAnsi="Arial" w:cs="Arial"/>
          <w:i/>
          <w:iCs/>
          <w:color w:val="252525"/>
          <w:sz w:val="30"/>
          <w:szCs w:val="30"/>
        </w:rPr>
        <w:t>If an employee travels by private vehicle, he or she will be reimbursed at the approved rate per mile. (See Appendix section </w:t>
      </w:r>
      <w:hyperlink r:id="rId28" w:anchor=".700" w:history="1">
        <w:r w:rsidRPr="008E2913">
          <w:rPr>
            <w:rFonts w:ascii="Arial" w:eastAsia="Times New Roman" w:hAnsi="Arial" w:cs="Arial"/>
            <w:i/>
            <w:iCs/>
            <w:color w:val="305CB6"/>
            <w:sz w:val="30"/>
            <w:szCs w:val="30"/>
          </w:rPr>
          <w:t>.700</w:t>
        </w:r>
      </w:hyperlink>
      <w:r w:rsidRPr="008E2913">
        <w:rPr>
          <w:rFonts w:ascii="Arial" w:eastAsia="Times New Roman" w:hAnsi="Arial" w:cs="Arial"/>
          <w:i/>
          <w:iCs/>
          <w:color w:val="252525"/>
          <w:sz w:val="30"/>
          <w:szCs w:val="30"/>
        </w:rPr>
        <w:t>, Tables and Forms, OUS Moving Expense Summary Table.) An employee may be reimbursed for common carrier* fares if he or she travels by common carrier instead of by private vehicle.</w:t>
      </w:r>
    </w:p>
    <w:p w:rsidR="008E2913" w:rsidRPr="008E2913" w:rsidRDefault="008E2913" w:rsidP="008E2913">
      <w:pPr>
        <w:shd w:val="clear" w:color="auto" w:fill="F4F2EC"/>
        <w:spacing w:after="225" w:line="240" w:lineRule="auto"/>
        <w:rPr>
          <w:rFonts w:ascii="Arial" w:eastAsia="Times New Roman" w:hAnsi="Arial" w:cs="Arial"/>
          <w:i/>
          <w:iCs/>
          <w:color w:val="252525"/>
          <w:sz w:val="30"/>
          <w:szCs w:val="30"/>
        </w:rPr>
      </w:pPr>
      <w:r w:rsidRPr="008E2913">
        <w:rPr>
          <w:rFonts w:ascii="Arial" w:eastAsia="Times New Roman" w:hAnsi="Arial" w:cs="Arial"/>
          <w:b/>
          <w:bCs/>
          <w:i/>
          <w:iCs/>
          <w:color w:val="252525"/>
          <w:sz w:val="30"/>
          <w:szCs w:val="30"/>
        </w:rPr>
        <w:t>C.</w:t>
      </w:r>
      <w:r w:rsidRPr="008E2913">
        <w:rPr>
          <w:rFonts w:ascii="Arial" w:eastAsia="Times New Roman" w:hAnsi="Arial" w:cs="Arial"/>
          <w:i/>
          <w:iCs/>
          <w:color w:val="252525"/>
          <w:sz w:val="30"/>
          <w:szCs w:val="30"/>
        </w:rPr>
        <w:t> </w:t>
      </w:r>
      <w:r w:rsidRPr="008E2913">
        <w:rPr>
          <w:rFonts w:ascii="Arial" w:eastAsia="Times New Roman" w:hAnsi="Arial" w:cs="Arial"/>
          <w:i/>
          <w:iCs/>
          <w:color w:val="252525"/>
          <w:sz w:val="30"/>
          <w:szCs w:val="30"/>
          <w:u w:val="single"/>
        </w:rPr>
        <w:t>House-hunting Transportation in Vicinity of New Location</w:t>
      </w:r>
      <w:proofErr w:type="gramStart"/>
      <w:r w:rsidRPr="008E2913">
        <w:rPr>
          <w:rFonts w:ascii="Arial" w:eastAsia="Times New Roman" w:hAnsi="Arial" w:cs="Arial"/>
          <w:i/>
          <w:iCs/>
          <w:color w:val="252525"/>
          <w:sz w:val="30"/>
          <w:szCs w:val="30"/>
          <w:u w:val="single"/>
        </w:rPr>
        <w:t>:</w:t>
      </w:r>
      <w:proofErr w:type="gramEnd"/>
      <w:r w:rsidRPr="008E2913">
        <w:rPr>
          <w:rFonts w:ascii="Arial" w:eastAsia="Times New Roman" w:hAnsi="Arial" w:cs="Arial"/>
          <w:i/>
          <w:iCs/>
          <w:color w:val="252525"/>
          <w:sz w:val="30"/>
          <w:szCs w:val="30"/>
        </w:rPr>
        <w:br/>
      </w:r>
      <w:r w:rsidRPr="008E2913">
        <w:rPr>
          <w:rFonts w:ascii="Arial" w:eastAsia="Times New Roman" w:hAnsi="Arial" w:cs="Arial"/>
          <w:i/>
          <w:iCs/>
          <w:color w:val="252525"/>
          <w:sz w:val="30"/>
          <w:szCs w:val="30"/>
        </w:rPr>
        <w:br/>
        <w:t>Up to 200 miles of private-vehicle mileage may be reimbursed for house-hunting in the vicinity of the new location. The employee will be reimbursed at the approved rate per mile. (See Appendix section </w:t>
      </w:r>
      <w:hyperlink r:id="rId29" w:anchor=".700" w:history="1">
        <w:r w:rsidRPr="008E2913">
          <w:rPr>
            <w:rFonts w:ascii="Arial" w:eastAsia="Times New Roman" w:hAnsi="Arial" w:cs="Arial"/>
            <w:i/>
            <w:iCs/>
            <w:color w:val="305CB6"/>
            <w:sz w:val="30"/>
            <w:szCs w:val="30"/>
          </w:rPr>
          <w:t>.700</w:t>
        </w:r>
      </w:hyperlink>
      <w:r w:rsidRPr="008E2913">
        <w:rPr>
          <w:rFonts w:ascii="Arial" w:eastAsia="Times New Roman" w:hAnsi="Arial" w:cs="Arial"/>
          <w:i/>
          <w:iCs/>
          <w:color w:val="252525"/>
          <w:sz w:val="30"/>
          <w:szCs w:val="30"/>
        </w:rPr>
        <w:t>, Tables and Forms, OUS Moving Expense Summary Table.)</w:t>
      </w:r>
    </w:p>
    <w:p w:rsidR="008E2913" w:rsidRPr="008E2913" w:rsidRDefault="008E2913" w:rsidP="008E2913">
      <w:pPr>
        <w:shd w:val="clear" w:color="auto" w:fill="F4F2EC"/>
        <w:spacing w:after="225" w:line="240" w:lineRule="auto"/>
        <w:rPr>
          <w:rFonts w:ascii="Arial" w:eastAsia="Times New Roman" w:hAnsi="Arial" w:cs="Arial"/>
          <w:i/>
          <w:iCs/>
          <w:color w:val="252525"/>
          <w:sz w:val="30"/>
          <w:szCs w:val="30"/>
        </w:rPr>
      </w:pPr>
      <w:r w:rsidRPr="008E2913">
        <w:rPr>
          <w:rFonts w:ascii="Arial" w:eastAsia="Times New Roman" w:hAnsi="Arial" w:cs="Arial"/>
          <w:b/>
          <w:bCs/>
          <w:i/>
          <w:iCs/>
          <w:color w:val="252525"/>
          <w:sz w:val="30"/>
          <w:szCs w:val="30"/>
        </w:rPr>
        <w:t>D.</w:t>
      </w:r>
      <w:r w:rsidRPr="008E2913">
        <w:rPr>
          <w:rFonts w:ascii="Arial" w:eastAsia="Times New Roman" w:hAnsi="Arial" w:cs="Arial"/>
          <w:i/>
          <w:iCs/>
          <w:color w:val="252525"/>
          <w:sz w:val="30"/>
          <w:szCs w:val="30"/>
        </w:rPr>
        <w:t> </w:t>
      </w:r>
      <w:r w:rsidRPr="008E2913">
        <w:rPr>
          <w:rFonts w:ascii="Arial" w:eastAsia="Times New Roman" w:hAnsi="Arial" w:cs="Arial"/>
          <w:i/>
          <w:iCs/>
          <w:color w:val="252525"/>
          <w:sz w:val="30"/>
          <w:szCs w:val="30"/>
          <w:u w:val="single"/>
        </w:rPr>
        <w:t>Moving Transportation</w:t>
      </w:r>
      <w:proofErr w:type="gramStart"/>
      <w:r w:rsidRPr="008E2913">
        <w:rPr>
          <w:rFonts w:ascii="Arial" w:eastAsia="Times New Roman" w:hAnsi="Arial" w:cs="Arial"/>
          <w:i/>
          <w:iCs/>
          <w:color w:val="252525"/>
          <w:sz w:val="30"/>
          <w:szCs w:val="30"/>
          <w:u w:val="single"/>
        </w:rPr>
        <w:t>:</w:t>
      </w:r>
      <w:proofErr w:type="gramEnd"/>
      <w:r w:rsidRPr="008E2913">
        <w:rPr>
          <w:rFonts w:ascii="Arial" w:eastAsia="Times New Roman" w:hAnsi="Arial" w:cs="Arial"/>
          <w:i/>
          <w:iCs/>
          <w:color w:val="252525"/>
          <w:sz w:val="30"/>
          <w:szCs w:val="30"/>
        </w:rPr>
        <w:br/>
      </w:r>
      <w:r w:rsidRPr="008E2913">
        <w:rPr>
          <w:rFonts w:ascii="Arial" w:eastAsia="Times New Roman" w:hAnsi="Arial" w:cs="Arial"/>
          <w:i/>
          <w:iCs/>
          <w:color w:val="252525"/>
          <w:sz w:val="30"/>
          <w:szCs w:val="30"/>
        </w:rPr>
        <w:br/>
      </w:r>
      <w:r w:rsidRPr="008E2913">
        <w:rPr>
          <w:rFonts w:ascii="Arial" w:eastAsia="Times New Roman" w:hAnsi="Arial" w:cs="Arial"/>
          <w:i/>
          <w:iCs/>
          <w:color w:val="252525"/>
          <w:sz w:val="30"/>
          <w:szCs w:val="30"/>
        </w:rPr>
        <w:lastRenderedPageBreak/>
        <w:t>If an employee travels by private vehicle, he or she will be reimbursed at the approved rate per mile. (See Appendix section </w:t>
      </w:r>
      <w:hyperlink r:id="rId30" w:anchor=".700" w:history="1">
        <w:r w:rsidRPr="008E2913">
          <w:rPr>
            <w:rFonts w:ascii="Arial" w:eastAsia="Times New Roman" w:hAnsi="Arial" w:cs="Arial"/>
            <w:i/>
            <w:iCs/>
            <w:color w:val="305CB6"/>
            <w:sz w:val="30"/>
            <w:szCs w:val="30"/>
          </w:rPr>
          <w:t>.700</w:t>
        </w:r>
      </w:hyperlink>
      <w:r w:rsidRPr="008E2913">
        <w:rPr>
          <w:rFonts w:ascii="Arial" w:eastAsia="Times New Roman" w:hAnsi="Arial" w:cs="Arial"/>
          <w:i/>
          <w:iCs/>
          <w:color w:val="252525"/>
          <w:sz w:val="30"/>
          <w:szCs w:val="30"/>
        </w:rPr>
        <w:t>, Tables and Forms, OUS Moving Expense Summary Table.) An employee may be reimbursed for up to two one-way common carrier* fares in lieu of private vehicle mileage.</w:t>
      </w:r>
    </w:p>
    <w:p w:rsidR="008E2913" w:rsidRPr="008E2913" w:rsidRDefault="008E2913" w:rsidP="008E2913">
      <w:pPr>
        <w:shd w:val="clear" w:color="auto" w:fill="F4F2EC"/>
        <w:spacing w:after="225" w:line="240" w:lineRule="auto"/>
        <w:rPr>
          <w:rFonts w:ascii="Arial" w:eastAsia="Times New Roman" w:hAnsi="Arial" w:cs="Arial"/>
          <w:i/>
          <w:iCs/>
          <w:color w:val="252525"/>
          <w:sz w:val="30"/>
          <w:szCs w:val="30"/>
        </w:rPr>
      </w:pPr>
      <w:r w:rsidRPr="008E2913">
        <w:rPr>
          <w:rFonts w:ascii="Arial" w:eastAsia="Times New Roman" w:hAnsi="Arial" w:cs="Arial"/>
          <w:b/>
          <w:bCs/>
          <w:i/>
          <w:iCs/>
          <w:color w:val="252525"/>
          <w:sz w:val="30"/>
          <w:szCs w:val="30"/>
        </w:rPr>
        <w:t>E.</w:t>
      </w:r>
      <w:r w:rsidRPr="008E2913">
        <w:rPr>
          <w:rFonts w:ascii="Arial" w:eastAsia="Times New Roman" w:hAnsi="Arial" w:cs="Arial"/>
          <w:i/>
          <w:iCs/>
          <w:color w:val="252525"/>
          <w:sz w:val="30"/>
          <w:szCs w:val="30"/>
        </w:rPr>
        <w:t> </w:t>
      </w:r>
      <w:r w:rsidRPr="008E2913">
        <w:rPr>
          <w:rFonts w:ascii="Arial" w:eastAsia="Times New Roman" w:hAnsi="Arial" w:cs="Arial"/>
          <w:i/>
          <w:iCs/>
          <w:color w:val="252525"/>
          <w:sz w:val="30"/>
          <w:szCs w:val="30"/>
          <w:u w:val="single"/>
        </w:rPr>
        <w:t>Meals and Lodging While in Moving and House-Hunting Status</w:t>
      </w:r>
      <w:proofErr w:type="gramStart"/>
      <w:r w:rsidRPr="008E2913">
        <w:rPr>
          <w:rFonts w:ascii="Arial" w:eastAsia="Times New Roman" w:hAnsi="Arial" w:cs="Arial"/>
          <w:i/>
          <w:iCs/>
          <w:color w:val="252525"/>
          <w:sz w:val="30"/>
          <w:szCs w:val="30"/>
          <w:u w:val="single"/>
        </w:rPr>
        <w:t>:</w:t>
      </w:r>
      <w:proofErr w:type="gramEnd"/>
      <w:r w:rsidRPr="008E2913">
        <w:rPr>
          <w:rFonts w:ascii="Arial" w:eastAsia="Times New Roman" w:hAnsi="Arial" w:cs="Arial"/>
          <w:i/>
          <w:iCs/>
          <w:color w:val="252525"/>
          <w:sz w:val="30"/>
          <w:szCs w:val="30"/>
        </w:rPr>
        <w:br/>
      </w:r>
      <w:r w:rsidRPr="008E2913">
        <w:rPr>
          <w:rFonts w:ascii="Arial" w:eastAsia="Times New Roman" w:hAnsi="Arial" w:cs="Arial"/>
          <w:i/>
          <w:iCs/>
          <w:color w:val="252525"/>
          <w:sz w:val="30"/>
          <w:szCs w:val="30"/>
        </w:rPr>
        <w:br/>
        <w:t>An employee may be reimbursed for up to ten days of meal and lodging expenses incurred by him or her and any household members while house-hunting and moving.</w:t>
      </w:r>
    </w:p>
    <w:p w:rsidR="008E2913" w:rsidRPr="008E2913" w:rsidRDefault="008E2913" w:rsidP="008E2913">
      <w:pPr>
        <w:shd w:val="clear" w:color="auto" w:fill="F4F2EC"/>
        <w:spacing w:line="240" w:lineRule="auto"/>
        <w:rPr>
          <w:rFonts w:ascii="Arial" w:eastAsia="Times New Roman" w:hAnsi="Arial" w:cs="Arial"/>
          <w:i/>
          <w:iCs/>
          <w:color w:val="252525"/>
          <w:sz w:val="30"/>
          <w:szCs w:val="30"/>
        </w:rPr>
      </w:pPr>
      <w:r w:rsidRPr="008E2913">
        <w:rPr>
          <w:rFonts w:ascii="Arial" w:eastAsia="Times New Roman" w:hAnsi="Arial" w:cs="Arial"/>
          <w:i/>
          <w:iCs/>
          <w:color w:val="252525"/>
          <w:sz w:val="30"/>
          <w:szCs w:val="30"/>
        </w:rPr>
        <w:t>Expenses will be reimbursed on a per diem basis. The employee will be reimbursed at the approved out-of-state low per diem rates. (See Appendix section </w:t>
      </w:r>
      <w:hyperlink r:id="rId31" w:anchor=".700" w:history="1">
        <w:r w:rsidRPr="008E2913">
          <w:rPr>
            <w:rFonts w:ascii="Arial" w:eastAsia="Times New Roman" w:hAnsi="Arial" w:cs="Arial"/>
            <w:i/>
            <w:iCs/>
            <w:color w:val="305CB6"/>
            <w:sz w:val="30"/>
            <w:szCs w:val="30"/>
          </w:rPr>
          <w:t>.700</w:t>
        </w:r>
      </w:hyperlink>
      <w:r w:rsidRPr="008E2913">
        <w:rPr>
          <w:rFonts w:ascii="Arial" w:eastAsia="Times New Roman" w:hAnsi="Arial" w:cs="Arial"/>
          <w:i/>
          <w:iCs/>
          <w:color w:val="252525"/>
          <w:sz w:val="30"/>
          <w:szCs w:val="30"/>
        </w:rPr>
        <w:t>, Tables and Forms, OUS Moving Expense Summary Table.)</w:t>
      </w:r>
    </w:p>
    <w:p w:rsidR="008E2913" w:rsidRPr="008E2913" w:rsidRDefault="008E2913" w:rsidP="008E2913">
      <w:pPr>
        <w:shd w:val="clear" w:color="auto" w:fill="F4F2EC"/>
        <w:spacing w:after="225" w:line="330" w:lineRule="atLeast"/>
        <w:rPr>
          <w:rFonts w:ascii="Arial" w:eastAsia="Times New Roman" w:hAnsi="Arial" w:cs="Arial"/>
          <w:color w:val="252525"/>
          <w:sz w:val="24"/>
          <w:szCs w:val="24"/>
        </w:rPr>
      </w:pPr>
      <w:r w:rsidRPr="008E2913">
        <w:rPr>
          <w:rFonts w:ascii="Arial" w:eastAsia="Times New Roman" w:hAnsi="Arial" w:cs="Arial"/>
          <w:i/>
          <w:iCs/>
          <w:color w:val="252525"/>
          <w:sz w:val="24"/>
          <w:szCs w:val="24"/>
        </w:rPr>
        <w:t>* Note: Common Carrier is any public land, air, or water conveyance operating under a valid license providing for the transportation of passengers for hire. For purposes of this moving expenses policy, common carrier refers to airplane, train, or ship.</w:t>
      </w:r>
    </w:p>
    <w:p w:rsidR="008E2913" w:rsidRPr="008E2913" w:rsidRDefault="008E2913" w:rsidP="008E2913">
      <w:pPr>
        <w:shd w:val="clear" w:color="auto" w:fill="F4F2EC"/>
        <w:spacing w:after="225" w:line="330" w:lineRule="atLeast"/>
        <w:rPr>
          <w:rFonts w:ascii="Arial" w:eastAsia="Times New Roman" w:hAnsi="Arial" w:cs="Arial"/>
          <w:color w:val="252525"/>
          <w:sz w:val="24"/>
          <w:szCs w:val="24"/>
        </w:rPr>
      </w:pPr>
      <w:r w:rsidRPr="008E2913">
        <w:rPr>
          <w:rFonts w:ascii="Arial" w:eastAsia="Times New Roman" w:hAnsi="Arial" w:cs="Arial"/>
          <w:b/>
          <w:bCs/>
          <w:color w:val="252525"/>
          <w:sz w:val="24"/>
          <w:szCs w:val="24"/>
        </w:rPr>
        <w:t>2. Temporary Living</w:t>
      </w:r>
    </w:p>
    <w:p w:rsidR="008E2913" w:rsidRPr="008E2913" w:rsidRDefault="008E2913" w:rsidP="008E2913">
      <w:pPr>
        <w:shd w:val="clear" w:color="auto" w:fill="F4F2EC"/>
        <w:spacing w:line="240" w:lineRule="auto"/>
        <w:rPr>
          <w:rFonts w:ascii="Arial" w:eastAsia="Times New Roman" w:hAnsi="Arial" w:cs="Arial"/>
          <w:i/>
          <w:iCs/>
          <w:color w:val="252525"/>
          <w:sz w:val="30"/>
          <w:szCs w:val="30"/>
        </w:rPr>
      </w:pPr>
      <w:r w:rsidRPr="008E2913">
        <w:rPr>
          <w:rFonts w:ascii="Arial" w:eastAsia="Times New Roman" w:hAnsi="Arial" w:cs="Arial"/>
          <w:i/>
          <w:iCs/>
          <w:color w:val="252525"/>
          <w:sz w:val="30"/>
          <w:szCs w:val="30"/>
        </w:rPr>
        <w:t>An employee may be reimbursed for the cost of up to 45 days of meal and lodging expenses incurred because of temporary living arrangements associated with a transfer or new appointment. Such expenses will be reimbursed on a per diem basis. Reimbursement will be made at the approved in-state per diem rates. (See Appendix section </w:t>
      </w:r>
      <w:hyperlink r:id="rId32" w:anchor=".700" w:history="1">
        <w:r w:rsidRPr="008E2913">
          <w:rPr>
            <w:rFonts w:ascii="Arial" w:eastAsia="Times New Roman" w:hAnsi="Arial" w:cs="Arial"/>
            <w:i/>
            <w:iCs/>
            <w:color w:val="305CB6"/>
            <w:sz w:val="30"/>
            <w:szCs w:val="30"/>
          </w:rPr>
          <w:t>.700</w:t>
        </w:r>
      </w:hyperlink>
      <w:r w:rsidRPr="008E2913">
        <w:rPr>
          <w:rFonts w:ascii="Arial" w:eastAsia="Times New Roman" w:hAnsi="Arial" w:cs="Arial"/>
          <w:i/>
          <w:iCs/>
          <w:color w:val="252525"/>
          <w:sz w:val="30"/>
          <w:szCs w:val="30"/>
        </w:rPr>
        <w:t>, Tables and Forms, OUS Moving Expense Summary Table.)</w:t>
      </w:r>
    </w:p>
    <w:p w:rsidR="008E2913" w:rsidRPr="008E2913" w:rsidRDefault="008E2913" w:rsidP="008E2913">
      <w:pPr>
        <w:shd w:val="clear" w:color="auto" w:fill="F4F2EC"/>
        <w:spacing w:after="225" w:line="330" w:lineRule="atLeast"/>
        <w:rPr>
          <w:rFonts w:ascii="Arial" w:eastAsia="Times New Roman" w:hAnsi="Arial" w:cs="Arial"/>
          <w:color w:val="252525"/>
          <w:sz w:val="24"/>
          <w:szCs w:val="24"/>
        </w:rPr>
      </w:pPr>
      <w:r w:rsidRPr="008E2913">
        <w:rPr>
          <w:rFonts w:ascii="Arial" w:eastAsia="Times New Roman" w:hAnsi="Arial" w:cs="Arial"/>
          <w:b/>
          <w:bCs/>
          <w:color w:val="252525"/>
          <w:sz w:val="24"/>
          <w:szCs w:val="24"/>
        </w:rPr>
        <w:t>3. Moving and Storage of Household Goods and Personal Effects of Employee and Household Members</w:t>
      </w:r>
    </w:p>
    <w:p w:rsidR="008E2913" w:rsidRPr="008E2913" w:rsidRDefault="008E2913" w:rsidP="008E2913">
      <w:pPr>
        <w:shd w:val="clear" w:color="auto" w:fill="F4F2EC"/>
        <w:spacing w:after="225" w:line="240" w:lineRule="auto"/>
        <w:rPr>
          <w:rFonts w:ascii="Arial" w:eastAsia="Times New Roman" w:hAnsi="Arial" w:cs="Arial"/>
          <w:i/>
          <w:iCs/>
          <w:color w:val="252525"/>
          <w:sz w:val="30"/>
          <w:szCs w:val="30"/>
        </w:rPr>
      </w:pPr>
      <w:r w:rsidRPr="008E2913">
        <w:rPr>
          <w:rFonts w:ascii="Arial" w:eastAsia="Times New Roman" w:hAnsi="Arial" w:cs="Arial"/>
          <w:b/>
          <w:bCs/>
          <w:i/>
          <w:iCs/>
          <w:color w:val="252525"/>
          <w:sz w:val="30"/>
          <w:szCs w:val="30"/>
        </w:rPr>
        <w:t>A.</w:t>
      </w:r>
      <w:r w:rsidRPr="008E2913">
        <w:rPr>
          <w:rFonts w:ascii="Arial" w:eastAsia="Times New Roman" w:hAnsi="Arial" w:cs="Arial"/>
          <w:i/>
          <w:iCs/>
          <w:color w:val="252525"/>
          <w:sz w:val="30"/>
          <w:szCs w:val="30"/>
        </w:rPr>
        <w:t> </w:t>
      </w:r>
      <w:r w:rsidRPr="008E2913">
        <w:rPr>
          <w:rFonts w:ascii="Arial" w:eastAsia="Times New Roman" w:hAnsi="Arial" w:cs="Arial"/>
          <w:i/>
          <w:iCs/>
          <w:color w:val="252525"/>
          <w:sz w:val="30"/>
          <w:szCs w:val="30"/>
          <w:u w:val="single"/>
        </w:rPr>
        <w:t xml:space="preserve">Services for Which an Employee is </w:t>
      </w:r>
      <w:proofErr w:type="gramStart"/>
      <w:r w:rsidRPr="008E2913">
        <w:rPr>
          <w:rFonts w:ascii="Arial" w:eastAsia="Times New Roman" w:hAnsi="Arial" w:cs="Arial"/>
          <w:i/>
          <w:iCs/>
          <w:color w:val="252525"/>
          <w:sz w:val="30"/>
          <w:szCs w:val="30"/>
          <w:u w:val="single"/>
        </w:rPr>
        <w:t>Reimbursed</w:t>
      </w:r>
      <w:proofErr w:type="gramEnd"/>
      <w:r w:rsidRPr="008E2913">
        <w:rPr>
          <w:rFonts w:ascii="Arial" w:eastAsia="Times New Roman" w:hAnsi="Arial" w:cs="Arial"/>
          <w:i/>
          <w:iCs/>
          <w:color w:val="252525"/>
          <w:sz w:val="30"/>
          <w:szCs w:val="30"/>
          <w:u w:val="single"/>
        </w:rPr>
        <w:t xml:space="preserve"> for Actual Expenses:</w:t>
      </w:r>
    </w:p>
    <w:p w:rsidR="008E2913" w:rsidRPr="008E2913" w:rsidRDefault="008E2913" w:rsidP="008E2913">
      <w:pPr>
        <w:numPr>
          <w:ilvl w:val="0"/>
          <w:numId w:val="4"/>
        </w:numPr>
        <w:shd w:val="clear" w:color="auto" w:fill="F4F2EC"/>
        <w:spacing w:before="100" w:beforeAutospacing="1" w:after="90" w:line="300" w:lineRule="atLeast"/>
        <w:ind w:left="675"/>
        <w:rPr>
          <w:rFonts w:ascii="Arial" w:eastAsia="Times New Roman" w:hAnsi="Arial" w:cs="Arial"/>
          <w:color w:val="252525"/>
          <w:sz w:val="27"/>
          <w:szCs w:val="27"/>
        </w:rPr>
      </w:pPr>
      <w:r w:rsidRPr="008E2913">
        <w:rPr>
          <w:rFonts w:ascii="Arial" w:eastAsia="Times New Roman" w:hAnsi="Arial" w:cs="Arial"/>
          <w:color w:val="252525"/>
          <w:sz w:val="27"/>
          <w:szCs w:val="27"/>
        </w:rPr>
        <w:t>Moving personal effects up to 20,000 pounds</w:t>
      </w:r>
    </w:p>
    <w:p w:rsidR="008E2913" w:rsidRPr="008E2913" w:rsidRDefault="008E2913" w:rsidP="008E2913">
      <w:pPr>
        <w:numPr>
          <w:ilvl w:val="0"/>
          <w:numId w:val="4"/>
        </w:numPr>
        <w:shd w:val="clear" w:color="auto" w:fill="F4F2EC"/>
        <w:spacing w:before="100" w:beforeAutospacing="1" w:after="90" w:line="300" w:lineRule="atLeast"/>
        <w:ind w:left="675"/>
        <w:rPr>
          <w:rFonts w:ascii="Arial" w:eastAsia="Times New Roman" w:hAnsi="Arial" w:cs="Arial"/>
          <w:color w:val="252525"/>
          <w:sz w:val="27"/>
          <w:szCs w:val="27"/>
        </w:rPr>
      </w:pPr>
      <w:r w:rsidRPr="008E2913">
        <w:rPr>
          <w:rFonts w:ascii="Arial" w:eastAsia="Times New Roman" w:hAnsi="Arial" w:cs="Arial"/>
          <w:color w:val="252525"/>
          <w:sz w:val="27"/>
          <w:szCs w:val="27"/>
        </w:rPr>
        <w:t>Full-value insurance on personal effects</w:t>
      </w:r>
    </w:p>
    <w:p w:rsidR="008E2913" w:rsidRPr="008E2913" w:rsidRDefault="008E2913" w:rsidP="008E2913">
      <w:pPr>
        <w:numPr>
          <w:ilvl w:val="0"/>
          <w:numId w:val="4"/>
        </w:numPr>
        <w:shd w:val="clear" w:color="auto" w:fill="F4F2EC"/>
        <w:spacing w:before="100" w:beforeAutospacing="1" w:after="90" w:line="300" w:lineRule="atLeast"/>
        <w:ind w:left="675"/>
        <w:rPr>
          <w:rFonts w:ascii="Arial" w:eastAsia="Times New Roman" w:hAnsi="Arial" w:cs="Arial"/>
          <w:color w:val="252525"/>
          <w:sz w:val="27"/>
          <w:szCs w:val="27"/>
        </w:rPr>
      </w:pPr>
      <w:r w:rsidRPr="008E2913">
        <w:rPr>
          <w:rFonts w:ascii="Arial" w:eastAsia="Times New Roman" w:hAnsi="Arial" w:cs="Arial"/>
          <w:color w:val="252525"/>
          <w:sz w:val="27"/>
          <w:szCs w:val="27"/>
        </w:rPr>
        <w:lastRenderedPageBreak/>
        <w:t>Appliance blocking charges and extra handling charges on items such as pianos and organs</w:t>
      </w:r>
    </w:p>
    <w:p w:rsidR="008E2913" w:rsidRPr="008E2913" w:rsidRDefault="008E2913" w:rsidP="008E2913">
      <w:pPr>
        <w:numPr>
          <w:ilvl w:val="0"/>
          <w:numId w:val="4"/>
        </w:numPr>
        <w:shd w:val="clear" w:color="auto" w:fill="F4F2EC"/>
        <w:spacing w:before="100" w:beforeAutospacing="1" w:after="90" w:line="300" w:lineRule="atLeast"/>
        <w:ind w:left="675"/>
        <w:rPr>
          <w:rFonts w:ascii="Arial" w:eastAsia="Times New Roman" w:hAnsi="Arial" w:cs="Arial"/>
          <w:color w:val="252525"/>
          <w:sz w:val="27"/>
          <w:szCs w:val="27"/>
        </w:rPr>
      </w:pPr>
      <w:r w:rsidRPr="008E2913">
        <w:rPr>
          <w:rFonts w:ascii="Arial" w:eastAsia="Times New Roman" w:hAnsi="Arial" w:cs="Arial"/>
          <w:color w:val="252525"/>
          <w:sz w:val="27"/>
          <w:szCs w:val="27"/>
        </w:rPr>
        <w:t>Up to 90 days storage and incidental handling charges for personal effects within the authorized weight limit (when approved in advance by authorized institution personnel). The employee must pay charges for storage exceeding 90 days.</w:t>
      </w:r>
    </w:p>
    <w:p w:rsidR="008E2913" w:rsidRPr="008E2913" w:rsidRDefault="008E2913" w:rsidP="008E2913">
      <w:pPr>
        <w:numPr>
          <w:ilvl w:val="0"/>
          <w:numId w:val="4"/>
        </w:numPr>
        <w:shd w:val="clear" w:color="auto" w:fill="F4F2EC"/>
        <w:spacing w:before="100" w:beforeAutospacing="1" w:after="90" w:line="300" w:lineRule="atLeast"/>
        <w:ind w:left="675"/>
        <w:rPr>
          <w:rFonts w:ascii="Arial" w:eastAsia="Times New Roman" w:hAnsi="Arial" w:cs="Arial"/>
          <w:color w:val="252525"/>
          <w:sz w:val="27"/>
          <w:szCs w:val="27"/>
        </w:rPr>
      </w:pPr>
      <w:r w:rsidRPr="008E2913">
        <w:rPr>
          <w:rFonts w:ascii="Arial" w:eastAsia="Times New Roman" w:hAnsi="Arial" w:cs="Arial"/>
          <w:color w:val="252525"/>
          <w:sz w:val="27"/>
          <w:szCs w:val="27"/>
        </w:rPr>
        <w:t>Packing, crating and unpacking -- including the cost of packing boxes -- up to $1,000</w:t>
      </w:r>
    </w:p>
    <w:p w:rsidR="008E2913" w:rsidRPr="008E2913" w:rsidRDefault="008E2913" w:rsidP="008E2913">
      <w:pPr>
        <w:shd w:val="clear" w:color="auto" w:fill="F4F2EC"/>
        <w:spacing w:after="225" w:line="240" w:lineRule="auto"/>
        <w:rPr>
          <w:rFonts w:ascii="Arial" w:eastAsia="Times New Roman" w:hAnsi="Arial" w:cs="Arial"/>
          <w:i/>
          <w:iCs/>
          <w:color w:val="252525"/>
          <w:sz w:val="30"/>
          <w:szCs w:val="30"/>
        </w:rPr>
      </w:pPr>
      <w:r w:rsidRPr="008E2913">
        <w:rPr>
          <w:rFonts w:ascii="Arial" w:eastAsia="Times New Roman" w:hAnsi="Arial" w:cs="Arial"/>
          <w:b/>
          <w:bCs/>
          <w:i/>
          <w:iCs/>
          <w:color w:val="252525"/>
          <w:sz w:val="30"/>
          <w:szCs w:val="30"/>
        </w:rPr>
        <w:t>B.</w:t>
      </w:r>
      <w:r w:rsidRPr="008E2913">
        <w:rPr>
          <w:rFonts w:ascii="Arial" w:eastAsia="Times New Roman" w:hAnsi="Arial" w:cs="Arial"/>
          <w:i/>
          <w:iCs/>
          <w:color w:val="252525"/>
          <w:sz w:val="30"/>
          <w:szCs w:val="30"/>
        </w:rPr>
        <w:t> </w:t>
      </w:r>
      <w:r w:rsidRPr="008E2913">
        <w:rPr>
          <w:rFonts w:ascii="Arial" w:eastAsia="Times New Roman" w:hAnsi="Arial" w:cs="Arial"/>
          <w:i/>
          <w:iCs/>
          <w:color w:val="252525"/>
          <w:sz w:val="30"/>
          <w:szCs w:val="30"/>
          <w:u w:val="single"/>
        </w:rPr>
        <w:t>Personal Effects in Excess of 20,000 Pounds</w:t>
      </w:r>
      <w:proofErr w:type="gramStart"/>
      <w:r w:rsidRPr="008E2913">
        <w:rPr>
          <w:rFonts w:ascii="Arial" w:eastAsia="Times New Roman" w:hAnsi="Arial" w:cs="Arial"/>
          <w:i/>
          <w:iCs/>
          <w:color w:val="252525"/>
          <w:sz w:val="30"/>
          <w:szCs w:val="30"/>
          <w:u w:val="single"/>
        </w:rPr>
        <w:t>:</w:t>
      </w:r>
      <w:proofErr w:type="gramEnd"/>
      <w:r w:rsidRPr="008E2913">
        <w:rPr>
          <w:rFonts w:ascii="Arial" w:eastAsia="Times New Roman" w:hAnsi="Arial" w:cs="Arial"/>
          <w:i/>
          <w:iCs/>
          <w:color w:val="252525"/>
          <w:sz w:val="30"/>
          <w:szCs w:val="30"/>
        </w:rPr>
        <w:br/>
      </w:r>
      <w:r w:rsidRPr="008E2913">
        <w:rPr>
          <w:rFonts w:ascii="Arial" w:eastAsia="Times New Roman" w:hAnsi="Arial" w:cs="Arial"/>
          <w:i/>
          <w:iCs/>
          <w:color w:val="252525"/>
          <w:sz w:val="30"/>
          <w:szCs w:val="30"/>
        </w:rPr>
        <w:br/>
        <w:t>Approval by authorized campus personnel is required when reimbursing an employee for the cost of moving personal effects in excess of 20,000 pounds. The request for approval must indicate the following:</w:t>
      </w:r>
    </w:p>
    <w:p w:rsidR="008E2913" w:rsidRPr="008E2913" w:rsidRDefault="008E2913" w:rsidP="008E2913">
      <w:pPr>
        <w:numPr>
          <w:ilvl w:val="0"/>
          <w:numId w:val="5"/>
        </w:numPr>
        <w:shd w:val="clear" w:color="auto" w:fill="F4F2EC"/>
        <w:spacing w:before="100" w:beforeAutospacing="1" w:after="90" w:line="300" w:lineRule="atLeast"/>
        <w:ind w:left="675"/>
        <w:rPr>
          <w:rFonts w:ascii="Arial" w:eastAsia="Times New Roman" w:hAnsi="Arial" w:cs="Arial"/>
          <w:color w:val="252525"/>
          <w:sz w:val="27"/>
          <w:szCs w:val="27"/>
        </w:rPr>
      </w:pPr>
      <w:r w:rsidRPr="008E2913">
        <w:rPr>
          <w:rFonts w:ascii="Arial" w:eastAsia="Times New Roman" w:hAnsi="Arial" w:cs="Arial"/>
          <w:color w:val="252525"/>
          <w:sz w:val="27"/>
          <w:szCs w:val="27"/>
        </w:rPr>
        <w:t>Estimated total weight</w:t>
      </w:r>
    </w:p>
    <w:p w:rsidR="008E2913" w:rsidRPr="008E2913" w:rsidRDefault="008E2913" w:rsidP="008E2913">
      <w:pPr>
        <w:numPr>
          <w:ilvl w:val="0"/>
          <w:numId w:val="5"/>
        </w:numPr>
        <w:shd w:val="clear" w:color="auto" w:fill="F4F2EC"/>
        <w:spacing w:before="100" w:beforeAutospacing="1" w:after="90" w:line="300" w:lineRule="atLeast"/>
        <w:ind w:left="675"/>
        <w:rPr>
          <w:rFonts w:ascii="Arial" w:eastAsia="Times New Roman" w:hAnsi="Arial" w:cs="Arial"/>
          <w:color w:val="252525"/>
          <w:sz w:val="27"/>
          <w:szCs w:val="27"/>
        </w:rPr>
      </w:pPr>
      <w:r w:rsidRPr="008E2913">
        <w:rPr>
          <w:rFonts w:ascii="Arial" w:eastAsia="Times New Roman" w:hAnsi="Arial" w:cs="Arial"/>
          <w:color w:val="252525"/>
          <w:sz w:val="27"/>
          <w:szCs w:val="27"/>
        </w:rPr>
        <w:t>Costs for moving both 20,000 pounds and for moving the total weight including storage charges if applicable</w:t>
      </w:r>
    </w:p>
    <w:p w:rsidR="008E2913" w:rsidRPr="008E2913" w:rsidRDefault="008E2913" w:rsidP="008E2913">
      <w:pPr>
        <w:numPr>
          <w:ilvl w:val="0"/>
          <w:numId w:val="5"/>
        </w:numPr>
        <w:shd w:val="clear" w:color="auto" w:fill="F4F2EC"/>
        <w:spacing w:before="100" w:beforeAutospacing="1" w:after="90" w:line="300" w:lineRule="atLeast"/>
        <w:ind w:left="675"/>
        <w:rPr>
          <w:rFonts w:ascii="Arial" w:eastAsia="Times New Roman" w:hAnsi="Arial" w:cs="Arial"/>
          <w:color w:val="252525"/>
          <w:sz w:val="27"/>
          <w:szCs w:val="27"/>
        </w:rPr>
      </w:pPr>
      <w:r w:rsidRPr="008E2913">
        <w:rPr>
          <w:rFonts w:ascii="Arial" w:eastAsia="Times New Roman" w:hAnsi="Arial" w:cs="Arial"/>
          <w:color w:val="252525"/>
          <w:sz w:val="27"/>
          <w:szCs w:val="27"/>
        </w:rPr>
        <w:t>Presence of any unusual items that cause the total to exceed 20,000 pounds</w:t>
      </w:r>
    </w:p>
    <w:p w:rsidR="008E2913" w:rsidRPr="008E2913" w:rsidRDefault="008E2913" w:rsidP="008E2913">
      <w:pPr>
        <w:shd w:val="clear" w:color="auto" w:fill="F4F2EC"/>
        <w:spacing w:after="225" w:line="240" w:lineRule="auto"/>
        <w:rPr>
          <w:rFonts w:ascii="Arial" w:eastAsia="Times New Roman" w:hAnsi="Arial" w:cs="Arial"/>
          <w:i/>
          <w:iCs/>
          <w:color w:val="252525"/>
          <w:sz w:val="30"/>
          <w:szCs w:val="30"/>
        </w:rPr>
      </w:pPr>
      <w:r w:rsidRPr="008E2913">
        <w:rPr>
          <w:rFonts w:ascii="Arial" w:eastAsia="Times New Roman" w:hAnsi="Arial" w:cs="Arial"/>
          <w:b/>
          <w:bCs/>
          <w:i/>
          <w:iCs/>
          <w:color w:val="252525"/>
          <w:sz w:val="30"/>
          <w:szCs w:val="30"/>
        </w:rPr>
        <w:t>C.</w:t>
      </w:r>
      <w:r w:rsidRPr="008E2913">
        <w:rPr>
          <w:rFonts w:ascii="Arial" w:eastAsia="Times New Roman" w:hAnsi="Arial" w:cs="Arial"/>
          <w:i/>
          <w:iCs/>
          <w:color w:val="252525"/>
          <w:sz w:val="30"/>
          <w:szCs w:val="30"/>
        </w:rPr>
        <w:t> </w:t>
      </w:r>
      <w:r w:rsidRPr="008E2913">
        <w:rPr>
          <w:rFonts w:ascii="Arial" w:eastAsia="Times New Roman" w:hAnsi="Arial" w:cs="Arial"/>
          <w:i/>
          <w:iCs/>
          <w:color w:val="252525"/>
          <w:sz w:val="30"/>
          <w:szCs w:val="30"/>
          <w:u w:val="single"/>
        </w:rPr>
        <w:t>Temporary Storage of Possessions</w:t>
      </w:r>
      <w:proofErr w:type="gramStart"/>
      <w:r w:rsidRPr="008E2913">
        <w:rPr>
          <w:rFonts w:ascii="Arial" w:eastAsia="Times New Roman" w:hAnsi="Arial" w:cs="Arial"/>
          <w:i/>
          <w:iCs/>
          <w:color w:val="252525"/>
          <w:sz w:val="30"/>
          <w:szCs w:val="30"/>
          <w:u w:val="single"/>
        </w:rPr>
        <w:t>:</w:t>
      </w:r>
      <w:proofErr w:type="gramEnd"/>
      <w:r w:rsidRPr="008E2913">
        <w:rPr>
          <w:rFonts w:ascii="Arial" w:eastAsia="Times New Roman" w:hAnsi="Arial" w:cs="Arial"/>
          <w:i/>
          <w:iCs/>
          <w:color w:val="252525"/>
          <w:sz w:val="30"/>
          <w:szCs w:val="30"/>
        </w:rPr>
        <w:br/>
      </w:r>
      <w:r w:rsidRPr="008E2913">
        <w:rPr>
          <w:rFonts w:ascii="Arial" w:eastAsia="Times New Roman" w:hAnsi="Arial" w:cs="Arial"/>
          <w:i/>
          <w:iCs/>
          <w:color w:val="252525"/>
          <w:sz w:val="30"/>
          <w:szCs w:val="30"/>
        </w:rPr>
        <w:br/>
        <w:t>A request for approval to store the employee's possessions must show all of the following:</w:t>
      </w:r>
    </w:p>
    <w:p w:rsidR="008E2913" w:rsidRPr="008E2913" w:rsidRDefault="008E2913" w:rsidP="008E2913">
      <w:pPr>
        <w:numPr>
          <w:ilvl w:val="0"/>
          <w:numId w:val="6"/>
        </w:numPr>
        <w:shd w:val="clear" w:color="auto" w:fill="F4F2EC"/>
        <w:spacing w:before="100" w:beforeAutospacing="1" w:after="90" w:line="300" w:lineRule="atLeast"/>
        <w:ind w:left="675"/>
        <w:rPr>
          <w:rFonts w:ascii="Arial" w:eastAsia="Times New Roman" w:hAnsi="Arial" w:cs="Arial"/>
          <w:color w:val="252525"/>
          <w:sz w:val="27"/>
          <w:szCs w:val="27"/>
        </w:rPr>
      </w:pPr>
      <w:r w:rsidRPr="008E2913">
        <w:rPr>
          <w:rFonts w:ascii="Arial" w:eastAsia="Times New Roman" w:hAnsi="Arial" w:cs="Arial"/>
          <w:color w:val="252525"/>
          <w:sz w:val="27"/>
          <w:szCs w:val="27"/>
        </w:rPr>
        <w:t>An actual and reasonable need for storage</w:t>
      </w:r>
    </w:p>
    <w:p w:rsidR="008E2913" w:rsidRPr="008E2913" w:rsidRDefault="008E2913" w:rsidP="008E2913">
      <w:pPr>
        <w:numPr>
          <w:ilvl w:val="0"/>
          <w:numId w:val="6"/>
        </w:numPr>
        <w:shd w:val="clear" w:color="auto" w:fill="F4F2EC"/>
        <w:spacing w:before="100" w:beforeAutospacing="1" w:after="90" w:line="300" w:lineRule="atLeast"/>
        <w:ind w:left="675"/>
        <w:rPr>
          <w:rFonts w:ascii="Arial" w:eastAsia="Times New Roman" w:hAnsi="Arial" w:cs="Arial"/>
          <w:color w:val="252525"/>
          <w:sz w:val="27"/>
          <w:szCs w:val="27"/>
        </w:rPr>
      </w:pPr>
      <w:r w:rsidRPr="008E2913">
        <w:rPr>
          <w:rFonts w:ascii="Arial" w:eastAsia="Times New Roman" w:hAnsi="Arial" w:cs="Arial"/>
          <w:color w:val="252525"/>
          <w:sz w:val="27"/>
          <w:szCs w:val="27"/>
        </w:rPr>
        <w:t>An estimate of how long they will be stored</w:t>
      </w:r>
    </w:p>
    <w:p w:rsidR="008E2913" w:rsidRPr="008E2913" w:rsidRDefault="008E2913" w:rsidP="008E2913">
      <w:pPr>
        <w:numPr>
          <w:ilvl w:val="0"/>
          <w:numId w:val="6"/>
        </w:numPr>
        <w:shd w:val="clear" w:color="auto" w:fill="F4F2EC"/>
        <w:spacing w:before="100" w:beforeAutospacing="1" w:after="90" w:line="300" w:lineRule="atLeast"/>
        <w:ind w:left="675"/>
        <w:rPr>
          <w:rFonts w:ascii="Arial" w:eastAsia="Times New Roman" w:hAnsi="Arial" w:cs="Arial"/>
          <w:color w:val="252525"/>
          <w:sz w:val="27"/>
          <w:szCs w:val="27"/>
        </w:rPr>
      </w:pPr>
      <w:r w:rsidRPr="008E2913">
        <w:rPr>
          <w:rFonts w:ascii="Arial" w:eastAsia="Times New Roman" w:hAnsi="Arial" w:cs="Arial"/>
          <w:color w:val="252525"/>
          <w:sz w:val="27"/>
          <w:szCs w:val="27"/>
        </w:rPr>
        <w:t>An estimate of the cost</w:t>
      </w:r>
    </w:p>
    <w:p w:rsidR="008E2913" w:rsidRPr="008E2913" w:rsidRDefault="008E2913" w:rsidP="008E2913">
      <w:pPr>
        <w:shd w:val="clear" w:color="auto" w:fill="F4F2EC"/>
        <w:spacing w:line="240" w:lineRule="auto"/>
        <w:rPr>
          <w:rFonts w:ascii="Arial" w:eastAsia="Times New Roman" w:hAnsi="Arial" w:cs="Arial"/>
          <w:i/>
          <w:iCs/>
          <w:color w:val="252525"/>
          <w:sz w:val="30"/>
          <w:szCs w:val="30"/>
        </w:rPr>
      </w:pPr>
      <w:r w:rsidRPr="008E2913">
        <w:rPr>
          <w:rFonts w:ascii="Arial" w:eastAsia="Times New Roman" w:hAnsi="Arial" w:cs="Arial"/>
          <w:b/>
          <w:bCs/>
          <w:i/>
          <w:iCs/>
          <w:color w:val="252525"/>
          <w:sz w:val="30"/>
          <w:szCs w:val="30"/>
        </w:rPr>
        <w:t>D.</w:t>
      </w:r>
      <w:r w:rsidRPr="008E2913">
        <w:rPr>
          <w:rFonts w:ascii="Arial" w:eastAsia="Times New Roman" w:hAnsi="Arial" w:cs="Arial"/>
          <w:i/>
          <w:iCs/>
          <w:color w:val="252525"/>
          <w:sz w:val="30"/>
          <w:szCs w:val="30"/>
        </w:rPr>
        <w:t> </w:t>
      </w:r>
      <w:r w:rsidRPr="008E2913">
        <w:rPr>
          <w:rFonts w:ascii="Arial" w:eastAsia="Times New Roman" w:hAnsi="Arial" w:cs="Arial"/>
          <w:i/>
          <w:iCs/>
          <w:color w:val="252525"/>
          <w:sz w:val="30"/>
          <w:szCs w:val="30"/>
          <w:u w:val="single"/>
        </w:rPr>
        <w:t>Miscellaneous Relocation Expense Allowance</w:t>
      </w:r>
      <w:proofErr w:type="gramStart"/>
      <w:r w:rsidRPr="008E2913">
        <w:rPr>
          <w:rFonts w:ascii="Arial" w:eastAsia="Times New Roman" w:hAnsi="Arial" w:cs="Arial"/>
          <w:i/>
          <w:iCs/>
          <w:color w:val="252525"/>
          <w:sz w:val="30"/>
          <w:szCs w:val="30"/>
          <w:u w:val="single"/>
        </w:rPr>
        <w:t>:</w:t>
      </w:r>
      <w:proofErr w:type="gramEnd"/>
      <w:r w:rsidRPr="008E2913">
        <w:rPr>
          <w:rFonts w:ascii="Arial" w:eastAsia="Times New Roman" w:hAnsi="Arial" w:cs="Arial"/>
          <w:i/>
          <w:iCs/>
          <w:color w:val="252525"/>
          <w:sz w:val="30"/>
          <w:szCs w:val="30"/>
        </w:rPr>
        <w:br/>
      </w:r>
      <w:r w:rsidRPr="008E2913">
        <w:rPr>
          <w:rFonts w:ascii="Arial" w:eastAsia="Times New Roman" w:hAnsi="Arial" w:cs="Arial"/>
          <w:i/>
          <w:iCs/>
          <w:color w:val="252525"/>
          <w:sz w:val="30"/>
          <w:szCs w:val="30"/>
        </w:rPr>
        <w:br/>
        <w:t>An employee may be reimbursed for up to $1,500 for miscellaneous expenses that result directly from relocating. Receipts are required for all miscellaneous expenses.</w:t>
      </w:r>
    </w:p>
    <w:p w:rsidR="008E2913" w:rsidRPr="008E2913" w:rsidRDefault="008E2913" w:rsidP="008E2913">
      <w:pPr>
        <w:shd w:val="clear" w:color="auto" w:fill="F4F2EC"/>
        <w:spacing w:after="225" w:line="330" w:lineRule="atLeast"/>
        <w:rPr>
          <w:rFonts w:ascii="Arial" w:eastAsia="Times New Roman" w:hAnsi="Arial" w:cs="Arial"/>
          <w:color w:val="252525"/>
          <w:sz w:val="24"/>
          <w:szCs w:val="24"/>
        </w:rPr>
      </w:pPr>
      <w:bookmarkStart w:id="10" w:name=".190"/>
      <w:bookmarkEnd w:id="10"/>
      <w:r w:rsidRPr="008E2913">
        <w:rPr>
          <w:rFonts w:ascii="Arial" w:eastAsia="Times New Roman" w:hAnsi="Arial" w:cs="Arial"/>
          <w:b/>
          <w:bCs/>
          <w:color w:val="252525"/>
          <w:sz w:val="24"/>
          <w:szCs w:val="24"/>
        </w:rPr>
        <w:t>.190 RELOCATION EXPENSE REIMBURSEMENT REQUEST</w:t>
      </w:r>
    </w:p>
    <w:p w:rsidR="008E2913" w:rsidRPr="008E2913" w:rsidRDefault="008E2913" w:rsidP="008E2913">
      <w:pPr>
        <w:shd w:val="clear" w:color="auto" w:fill="F4F2EC"/>
        <w:spacing w:after="225" w:line="330" w:lineRule="atLeast"/>
        <w:rPr>
          <w:rFonts w:ascii="Arial" w:eastAsia="Times New Roman" w:hAnsi="Arial" w:cs="Arial"/>
          <w:color w:val="252525"/>
          <w:sz w:val="24"/>
          <w:szCs w:val="24"/>
        </w:rPr>
      </w:pPr>
      <w:r w:rsidRPr="008E2913">
        <w:rPr>
          <w:rFonts w:ascii="Arial" w:eastAsia="Times New Roman" w:hAnsi="Arial" w:cs="Arial"/>
          <w:color w:val="252525"/>
          <w:sz w:val="24"/>
          <w:szCs w:val="24"/>
        </w:rPr>
        <w:t xml:space="preserve">Relocation expenses may be reimbursed by paying either the traveler or the vendor. Requests to reimburse relocation expenses must be made on the campus moving </w:t>
      </w:r>
      <w:r w:rsidRPr="008E2913">
        <w:rPr>
          <w:rFonts w:ascii="Arial" w:eastAsia="Times New Roman" w:hAnsi="Arial" w:cs="Arial"/>
          <w:color w:val="252525"/>
          <w:sz w:val="24"/>
          <w:szCs w:val="24"/>
        </w:rPr>
        <w:lastRenderedPageBreak/>
        <w:t>reimbursement request form. Requests for reimbursement must be accompanied by receipts, if required.</w:t>
      </w:r>
    </w:p>
    <w:p w:rsidR="008E2913" w:rsidRPr="008E2913" w:rsidRDefault="008E2913" w:rsidP="008E2913">
      <w:pPr>
        <w:shd w:val="clear" w:color="auto" w:fill="F4F2EC"/>
        <w:spacing w:after="225" w:line="330" w:lineRule="atLeast"/>
        <w:rPr>
          <w:rFonts w:ascii="Arial" w:eastAsia="Times New Roman" w:hAnsi="Arial" w:cs="Arial"/>
          <w:color w:val="252525"/>
          <w:sz w:val="24"/>
          <w:szCs w:val="24"/>
        </w:rPr>
      </w:pPr>
      <w:bookmarkStart w:id="11" w:name=".200"/>
      <w:bookmarkEnd w:id="11"/>
      <w:r w:rsidRPr="008E2913">
        <w:rPr>
          <w:rFonts w:ascii="Arial" w:eastAsia="Times New Roman" w:hAnsi="Arial" w:cs="Arial"/>
          <w:b/>
          <w:bCs/>
          <w:color w:val="252525"/>
          <w:sz w:val="24"/>
          <w:szCs w:val="24"/>
        </w:rPr>
        <w:t>.200 REIMBURSEMENT RATES</w:t>
      </w:r>
    </w:p>
    <w:p w:rsidR="008E2913" w:rsidRPr="008E2913" w:rsidRDefault="008E2913" w:rsidP="008E2913">
      <w:pPr>
        <w:shd w:val="clear" w:color="auto" w:fill="F4F2EC"/>
        <w:spacing w:after="225" w:line="330" w:lineRule="atLeast"/>
        <w:rPr>
          <w:rFonts w:ascii="Arial" w:eastAsia="Times New Roman" w:hAnsi="Arial" w:cs="Arial"/>
          <w:color w:val="252525"/>
          <w:sz w:val="24"/>
          <w:szCs w:val="24"/>
        </w:rPr>
      </w:pPr>
      <w:r w:rsidRPr="008E2913">
        <w:rPr>
          <w:rFonts w:ascii="Arial" w:eastAsia="Times New Roman" w:hAnsi="Arial" w:cs="Arial"/>
          <w:color w:val="252525"/>
          <w:sz w:val="24"/>
          <w:szCs w:val="24"/>
        </w:rPr>
        <w:t>Current OUS reimbursement rates associated with moving expenses, house-hunting expenses, and temporary living expenses arising from a new appointment or transfer are available in the OUS Moving Expense Summary Table in Appendix section </w:t>
      </w:r>
      <w:hyperlink r:id="rId33" w:anchor=".700" w:history="1">
        <w:r w:rsidRPr="008E2913">
          <w:rPr>
            <w:rFonts w:ascii="Arial" w:eastAsia="Times New Roman" w:hAnsi="Arial" w:cs="Arial"/>
            <w:color w:val="305CB6"/>
            <w:sz w:val="24"/>
            <w:szCs w:val="24"/>
          </w:rPr>
          <w:t>.700</w:t>
        </w:r>
      </w:hyperlink>
      <w:r w:rsidRPr="008E2913">
        <w:rPr>
          <w:rFonts w:ascii="Arial" w:eastAsia="Times New Roman" w:hAnsi="Arial" w:cs="Arial"/>
          <w:color w:val="252525"/>
          <w:sz w:val="24"/>
          <w:szCs w:val="24"/>
        </w:rPr>
        <w:t>. Negotiated limits may not exceed the maximum amounts shown and are subject to budget availability and individual campus policy.</w:t>
      </w:r>
    </w:p>
    <w:p w:rsidR="008E2913" w:rsidRPr="008E2913" w:rsidRDefault="008E2913" w:rsidP="008E2913">
      <w:pPr>
        <w:shd w:val="clear" w:color="auto" w:fill="F4F2EC"/>
        <w:spacing w:after="225" w:line="330" w:lineRule="atLeast"/>
        <w:rPr>
          <w:rFonts w:ascii="Arial" w:eastAsia="Times New Roman" w:hAnsi="Arial" w:cs="Arial"/>
          <w:color w:val="252525"/>
          <w:sz w:val="24"/>
          <w:szCs w:val="24"/>
        </w:rPr>
      </w:pPr>
      <w:bookmarkStart w:id="12" w:name=".210"/>
      <w:bookmarkEnd w:id="12"/>
      <w:r w:rsidRPr="008E2913">
        <w:rPr>
          <w:rFonts w:ascii="Arial" w:eastAsia="Times New Roman" w:hAnsi="Arial" w:cs="Arial"/>
          <w:b/>
          <w:bCs/>
          <w:color w:val="252525"/>
          <w:sz w:val="24"/>
          <w:szCs w:val="24"/>
        </w:rPr>
        <w:t>.210 TAX CONSIDERATIONS</w:t>
      </w:r>
    </w:p>
    <w:p w:rsidR="008E2913" w:rsidRPr="008E2913" w:rsidRDefault="008E2913" w:rsidP="008E2913">
      <w:pPr>
        <w:shd w:val="clear" w:color="auto" w:fill="F4F2EC"/>
        <w:spacing w:after="225" w:line="330" w:lineRule="atLeast"/>
        <w:rPr>
          <w:rFonts w:ascii="Arial" w:eastAsia="Times New Roman" w:hAnsi="Arial" w:cs="Arial"/>
          <w:color w:val="252525"/>
          <w:sz w:val="24"/>
          <w:szCs w:val="24"/>
        </w:rPr>
      </w:pPr>
      <w:r w:rsidRPr="008E2913">
        <w:rPr>
          <w:rFonts w:ascii="Arial" w:eastAsia="Times New Roman" w:hAnsi="Arial" w:cs="Arial"/>
          <w:color w:val="252525"/>
          <w:sz w:val="24"/>
          <w:szCs w:val="24"/>
        </w:rPr>
        <w:t>Certain moving-expense reimbursements made to an employee or on an employee's behalf are considered non-taxable. Other moving-expense reimbursements are taxable income and must be reported on the employee's Form W-2. For taxable reimbursements, federal and state income taxes and social security and Medicare taxes must be withheld. For lists of non-taxable and taxable relocation expenses, and payment and reporting methodology, see Appendix sections </w:t>
      </w:r>
      <w:hyperlink r:id="rId34" w:anchor=".710" w:history="1">
        <w:r w:rsidRPr="008E2913">
          <w:rPr>
            <w:rFonts w:ascii="Arial" w:eastAsia="Times New Roman" w:hAnsi="Arial" w:cs="Arial"/>
            <w:color w:val="305CB6"/>
            <w:sz w:val="24"/>
            <w:szCs w:val="24"/>
          </w:rPr>
          <w:t>.710</w:t>
        </w:r>
      </w:hyperlink>
      <w:r w:rsidRPr="008E2913">
        <w:rPr>
          <w:rFonts w:ascii="Arial" w:eastAsia="Times New Roman" w:hAnsi="Arial" w:cs="Arial"/>
          <w:color w:val="252525"/>
          <w:sz w:val="24"/>
          <w:szCs w:val="24"/>
        </w:rPr>
        <w:t> and </w:t>
      </w:r>
      <w:hyperlink r:id="rId35" w:anchor=".720" w:history="1">
        <w:r w:rsidRPr="008E2913">
          <w:rPr>
            <w:rFonts w:ascii="Arial" w:eastAsia="Times New Roman" w:hAnsi="Arial" w:cs="Arial"/>
            <w:color w:val="305CB6"/>
            <w:sz w:val="24"/>
            <w:szCs w:val="24"/>
          </w:rPr>
          <w:t>.720</w:t>
        </w:r>
      </w:hyperlink>
      <w:r w:rsidRPr="008E2913">
        <w:rPr>
          <w:rFonts w:ascii="Arial" w:eastAsia="Times New Roman" w:hAnsi="Arial" w:cs="Arial"/>
          <w:color w:val="252525"/>
          <w:sz w:val="24"/>
          <w:szCs w:val="24"/>
        </w:rPr>
        <w:t>.</w:t>
      </w:r>
    </w:p>
    <w:p w:rsidR="008E2913" w:rsidRPr="008E2913" w:rsidRDefault="008E2913" w:rsidP="008E2913">
      <w:pPr>
        <w:shd w:val="clear" w:color="auto" w:fill="F4F2EC"/>
        <w:spacing w:after="225" w:line="330" w:lineRule="atLeast"/>
        <w:rPr>
          <w:rFonts w:ascii="Arial" w:eastAsia="Times New Roman" w:hAnsi="Arial" w:cs="Arial"/>
          <w:color w:val="252525"/>
          <w:sz w:val="24"/>
          <w:szCs w:val="24"/>
        </w:rPr>
      </w:pPr>
      <w:bookmarkStart w:id="13" w:name=".690"/>
      <w:bookmarkEnd w:id="13"/>
      <w:r w:rsidRPr="008E2913">
        <w:rPr>
          <w:rFonts w:ascii="Arial" w:eastAsia="Times New Roman" w:hAnsi="Arial" w:cs="Arial"/>
          <w:b/>
          <w:bCs/>
          <w:color w:val="252525"/>
          <w:sz w:val="24"/>
          <w:szCs w:val="24"/>
        </w:rPr>
        <w:t>.690</w:t>
      </w:r>
      <w:proofErr w:type="gramStart"/>
      <w:r w:rsidRPr="008E2913">
        <w:rPr>
          <w:rFonts w:ascii="Arial" w:eastAsia="Times New Roman" w:hAnsi="Arial" w:cs="Arial"/>
          <w:b/>
          <w:bCs/>
          <w:color w:val="252525"/>
          <w:sz w:val="24"/>
          <w:szCs w:val="24"/>
        </w:rPr>
        <w:t>  CONTACT</w:t>
      </w:r>
      <w:proofErr w:type="gramEnd"/>
      <w:r w:rsidRPr="008E2913">
        <w:rPr>
          <w:rFonts w:ascii="Arial" w:eastAsia="Times New Roman" w:hAnsi="Arial" w:cs="Arial"/>
          <w:b/>
          <w:bCs/>
          <w:color w:val="252525"/>
          <w:sz w:val="24"/>
          <w:szCs w:val="24"/>
        </w:rPr>
        <w:t xml:space="preserve"> INFORMATION</w:t>
      </w:r>
    </w:p>
    <w:p w:rsidR="008E2913" w:rsidRPr="008E2913" w:rsidRDefault="008E2913" w:rsidP="008E2913">
      <w:pPr>
        <w:shd w:val="clear" w:color="auto" w:fill="F4F2EC"/>
        <w:spacing w:line="330" w:lineRule="atLeast"/>
        <w:rPr>
          <w:rFonts w:ascii="Arial" w:eastAsia="Times New Roman" w:hAnsi="Arial" w:cs="Arial"/>
          <w:color w:val="252525"/>
          <w:sz w:val="24"/>
          <w:szCs w:val="24"/>
        </w:rPr>
      </w:pPr>
      <w:r w:rsidRPr="008E2913">
        <w:rPr>
          <w:rFonts w:ascii="Arial" w:eastAsia="Times New Roman" w:hAnsi="Arial" w:cs="Arial"/>
          <w:color w:val="252525"/>
          <w:sz w:val="24"/>
          <w:szCs w:val="24"/>
        </w:rPr>
        <w:t>Direct questions about this policy to the following offices:</w:t>
      </w:r>
    </w:p>
    <w:tbl>
      <w:tblPr>
        <w:tblW w:w="7605" w:type="dxa"/>
        <w:tblCellMar>
          <w:top w:w="15" w:type="dxa"/>
          <w:left w:w="15" w:type="dxa"/>
          <w:bottom w:w="15" w:type="dxa"/>
          <w:right w:w="15" w:type="dxa"/>
        </w:tblCellMar>
        <w:tblLook w:val="04A0" w:firstRow="1" w:lastRow="0" w:firstColumn="1" w:lastColumn="0" w:noHBand="0" w:noVBand="1"/>
      </w:tblPr>
      <w:tblGrid>
        <w:gridCol w:w="4925"/>
        <w:gridCol w:w="2680"/>
      </w:tblGrid>
      <w:tr w:rsidR="008E2913" w:rsidRPr="008E2913" w:rsidTr="008E2913">
        <w:tc>
          <w:tcPr>
            <w:tcW w:w="4470" w:type="dxa"/>
            <w:tcBorders>
              <w:top w:val="single" w:sz="2" w:space="0" w:color="E0E0E0"/>
              <w:left w:val="single" w:sz="2" w:space="0" w:color="E0E0E0"/>
              <w:bottom w:val="single" w:sz="2" w:space="0" w:color="E0E0E0"/>
              <w:right w:val="single" w:sz="2" w:space="0" w:color="E0E0E0"/>
            </w:tcBorders>
            <w:shd w:val="clear" w:color="auto" w:fill="F5F2ED"/>
            <w:tcMar>
              <w:top w:w="75" w:type="dxa"/>
              <w:left w:w="150" w:type="dxa"/>
              <w:bottom w:w="75" w:type="dxa"/>
              <w:right w:w="75" w:type="dxa"/>
            </w:tcMar>
            <w:vAlign w:val="center"/>
            <w:hideMark/>
          </w:tcPr>
          <w:p w:rsidR="008E2913" w:rsidRPr="008E2913" w:rsidRDefault="008E2913" w:rsidP="008E2913">
            <w:pPr>
              <w:spacing w:after="360" w:line="240" w:lineRule="auto"/>
              <w:jc w:val="center"/>
              <w:rPr>
                <w:rFonts w:ascii="Times New Roman" w:eastAsia="Times New Roman" w:hAnsi="Times New Roman" w:cs="Times New Roman"/>
                <w:sz w:val="24"/>
                <w:szCs w:val="24"/>
              </w:rPr>
            </w:pPr>
            <w:r w:rsidRPr="008E2913">
              <w:rPr>
                <w:rFonts w:ascii="Times New Roman" w:eastAsia="Times New Roman" w:hAnsi="Times New Roman" w:cs="Times New Roman"/>
                <w:b/>
                <w:bCs/>
                <w:sz w:val="24"/>
                <w:szCs w:val="24"/>
              </w:rPr>
              <w:t>Subject</w:t>
            </w:r>
          </w:p>
        </w:tc>
        <w:tc>
          <w:tcPr>
            <w:tcW w:w="3255" w:type="dxa"/>
            <w:tcBorders>
              <w:top w:val="single" w:sz="2" w:space="0" w:color="E0E0E0"/>
              <w:left w:val="single" w:sz="6" w:space="0" w:color="E0E0E0"/>
              <w:bottom w:val="single" w:sz="2" w:space="0" w:color="E0E0E0"/>
              <w:right w:val="single" w:sz="2" w:space="0" w:color="E0E0E0"/>
            </w:tcBorders>
            <w:shd w:val="clear" w:color="auto" w:fill="F5F2ED"/>
            <w:tcMar>
              <w:top w:w="75" w:type="dxa"/>
              <w:left w:w="150" w:type="dxa"/>
              <w:bottom w:w="75" w:type="dxa"/>
              <w:right w:w="75" w:type="dxa"/>
            </w:tcMar>
            <w:vAlign w:val="center"/>
            <w:hideMark/>
          </w:tcPr>
          <w:p w:rsidR="008E2913" w:rsidRPr="008E2913" w:rsidRDefault="008E2913" w:rsidP="008E2913">
            <w:pPr>
              <w:spacing w:after="360" w:line="240" w:lineRule="auto"/>
              <w:jc w:val="center"/>
              <w:rPr>
                <w:rFonts w:ascii="Times New Roman" w:eastAsia="Times New Roman" w:hAnsi="Times New Roman" w:cs="Times New Roman"/>
                <w:sz w:val="24"/>
                <w:szCs w:val="24"/>
              </w:rPr>
            </w:pPr>
            <w:r w:rsidRPr="008E2913">
              <w:rPr>
                <w:rFonts w:ascii="Times New Roman" w:eastAsia="Times New Roman" w:hAnsi="Times New Roman" w:cs="Times New Roman"/>
                <w:b/>
                <w:bCs/>
                <w:sz w:val="24"/>
                <w:szCs w:val="24"/>
              </w:rPr>
              <w:t>Contact</w:t>
            </w:r>
          </w:p>
        </w:tc>
      </w:tr>
      <w:tr w:rsidR="008E2913" w:rsidRPr="008E2913" w:rsidTr="008E2913">
        <w:tc>
          <w:tcPr>
            <w:tcW w:w="0" w:type="auto"/>
            <w:tcBorders>
              <w:top w:val="single" w:sz="2" w:space="0" w:color="E0E0E0"/>
              <w:left w:val="single" w:sz="2" w:space="0" w:color="E0E0E0"/>
              <w:bottom w:val="single" w:sz="2" w:space="0" w:color="E0E0E0"/>
              <w:right w:val="single" w:sz="2" w:space="0" w:color="E0E0E0"/>
            </w:tcBorders>
            <w:shd w:val="clear" w:color="auto" w:fill="auto"/>
            <w:tcMar>
              <w:top w:w="75" w:type="dxa"/>
              <w:left w:w="150" w:type="dxa"/>
              <w:bottom w:w="75" w:type="dxa"/>
              <w:right w:w="75" w:type="dxa"/>
            </w:tcMar>
            <w:hideMark/>
          </w:tcPr>
          <w:p w:rsidR="008E2913" w:rsidRPr="008E2913" w:rsidRDefault="008E2913" w:rsidP="008E2913">
            <w:pPr>
              <w:spacing w:after="360" w:line="240" w:lineRule="auto"/>
              <w:rPr>
                <w:rFonts w:ascii="Times New Roman" w:eastAsia="Times New Roman" w:hAnsi="Times New Roman" w:cs="Times New Roman"/>
                <w:sz w:val="24"/>
                <w:szCs w:val="24"/>
              </w:rPr>
            </w:pPr>
            <w:r w:rsidRPr="008E2913">
              <w:rPr>
                <w:rFonts w:ascii="Times New Roman" w:eastAsia="Times New Roman" w:hAnsi="Times New Roman" w:cs="Times New Roman"/>
                <w:sz w:val="24"/>
                <w:szCs w:val="24"/>
              </w:rPr>
              <w:t>General questions from institutional personnel</w:t>
            </w:r>
          </w:p>
        </w:tc>
        <w:tc>
          <w:tcPr>
            <w:tcW w:w="0" w:type="auto"/>
            <w:tcBorders>
              <w:top w:val="single" w:sz="2" w:space="0" w:color="E0E0E0"/>
              <w:left w:val="single" w:sz="6" w:space="0" w:color="E0E0E0"/>
              <w:bottom w:val="single" w:sz="2" w:space="0" w:color="E0E0E0"/>
              <w:right w:val="single" w:sz="2" w:space="0" w:color="E0E0E0"/>
            </w:tcBorders>
            <w:shd w:val="clear" w:color="auto" w:fill="auto"/>
            <w:tcMar>
              <w:top w:w="75" w:type="dxa"/>
              <w:left w:w="150" w:type="dxa"/>
              <w:bottom w:w="75" w:type="dxa"/>
              <w:right w:w="75" w:type="dxa"/>
            </w:tcMar>
            <w:hideMark/>
          </w:tcPr>
          <w:p w:rsidR="008E2913" w:rsidRPr="008E2913" w:rsidRDefault="008E2913" w:rsidP="008E2913">
            <w:pPr>
              <w:spacing w:after="360" w:line="240" w:lineRule="auto"/>
              <w:rPr>
                <w:rFonts w:ascii="Times New Roman" w:eastAsia="Times New Roman" w:hAnsi="Times New Roman" w:cs="Times New Roman"/>
                <w:sz w:val="24"/>
                <w:szCs w:val="24"/>
              </w:rPr>
            </w:pPr>
            <w:r w:rsidRPr="008E2913">
              <w:rPr>
                <w:rFonts w:ascii="Times New Roman" w:eastAsia="Times New Roman" w:hAnsi="Times New Roman" w:cs="Times New Roman"/>
                <w:sz w:val="24"/>
                <w:szCs w:val="24"/>
              </w:rPr>
              <w:t>Institution Office of Business Affairs</w:t>
            </w:r>
          </w:p>
        </w:tc>
      </w:tr>
      <w:tr w:rsidR="008E2913" w:rsidRPr="008E2913" w:rsidTr="008E2913">
        <w:tc>
          <w:tcPr>
            <w:tcW w:w="0" w:type="auto"/>
            <w:tcBorders>
              <w:top w:val="single" w:sz="2" w:space="0" w:color="E0E0E0"/>
              <w:left w:val="single" w:sz="2" w:space="0" w:color="E0E0E0"/>
              <w:bottom w:val="single" w:sz="2" w:space="0" w:color="E0E0E0"/>
              <w:right w:val="single" w:sz="2" w:space="0" w:color="E0E0E0"/>
            </w:tcBorders>
            <w:shd w:val="clear" w:color="auto" w:fill="F5F2ED"/>
            <w:tcMar>
              <w:top w:w="75" w:type="dxa"/>
              <w:left w:w="150" w:type="dxa"/>
              <w:bottom w:w="75" w:type="dxa"/>
              <w:right w:w="75" w:type="dxa"/>
            </w:tcMar>
            <w:hideMark/>
          </w:tcPr>
          <w:p w:rsidR="008E2913" w:rsidRPr="008E2913" w:rsidRDefault="008E2913" w:rsidP="008E2913">
            <w:pPr>
              <w:spacing w:after="360" w:line="240" w:lineRule="auto"/>
              <w:rPr>
                <w:rFonts w:ascii="Times New Roman" w:eastAsia="Times New Roman" w:hAnsi="Times New Roman" w:cs="Times New Roman"/>
                <w:sz w:val="24"/>
                <w:szCs w:val="24"/>
              </w:rPr>
            </w:pPr>
            <w:r w:rsidRPr="008E2913">
              <w:rPr>
                <w:rFonts w:ascii="Times New Roman" w:eastAsia="Times New Roman" w:hAnsi="Times New Roman" w:cs="Times New Roman"/>
                <w:sz w:val="24"/>
                <w:szCs w:val="24"/>
              </w:rPr>
              <w:t>General questions from institutional central administration and Chancellor's Office personnel</w:t>
            </w:r>
          </w:p>
        </w:tc>
        <w:tc>
          <w:tcPr>
            <w:tcW w:w="0" w:type="auto"/>
            <w:tcBorders>
              <w:top w:val="single" w:sz="2" w:space="0" w:color="E0E0E0"/>
              <w:left w:val="single" w:sz="6" w:space="0" w:color="E0E0E0"/>
              <w:bottom w:val="single" w:sz="2" w:space="0" w:color="E0E0E0"/>
              <w:right w:val="single" w:sz="2" w:space="0" w:color="E0E0E0"/>
            </w:tcBorders>
            <w:shd w:val="clear" w:color="auto" w:fill="F5F2ED"/>
            <w:tcMar>
              <w:top w:w="75" w:type="dxa"/>
              <w:left w:w="150" w:type="dxa"/>
              <w:bottom w:w="75" w:type="dxa"/>
              <w:right w:w="75" w:type="dxa"/>
            </w:tcMar>
            <w:hideMark/>
          </w:tcPr>
          <w:p w:rsidR="008E2913" w:rsidRPr="008E2913" w:rsidRDefault="008E2913" w:rsidP="008E2913">
            <w:pPr>
              <w:spacing w:after="225" w:line="240" w:lineRule="auto"/>
              <w:rPr>
                <w:rFonts w:ascii="Times New Roman" w:eastAsia="Times New Roman" w:hAnsi="Times New Roman" w:cs="Times New Roman"/>
                <w:sz w:val="24"/>
                <w:szCs w:val="24"/>
              </w:rPr>
            </w:pPr>
            <w:r w:rsidRPr="008E2913">
              <w:rPr>
                <w:rFonts w:ascii="Times New Roman" w:eastAsia="Times New Roman" w:hAnsi="Times New Roman" w:cs="Times New Roman"/>
                <w:sz w:val="24"/>
                <w:szCs w:val="24"/>
              </w:rPr>
              <w:t>Chancellor's Office - Controller's Division</w:t>
            </w:r>
          </w:p>
        </w:tc>
      </w:tr>
    </w:tbl>
    <w:p w:rsidR="008E2913" w:rsidRPr="008E2913" w:rsidRDefault="008E2913" w:rsidP="008E2913">
      <w:pPr>
        <w:shd w:val="clear" w:color="auto" w:fill="F4F2EC"/>
        <w:spacing w:after="225" w:line="330" w:lineRule="atLeast"/>
        <w:rPr>
          <w:rFonts w:ascii="Arial" w:eastAsia="Times New Roman" w:hAnsi="Arial" w:cs="Arial"/>
          <w:color w:val="252525"/>
          <w:sz w:val="24"/>
          <w:szCs w:val="24"/>
        </w:rPr>
      </w:pPr>
      <w:r w:rsidRPr="008E2913">
        <w:rPr>
          <w:rFonts w:ascii="Arial" w:eastAsia="Times New Roman" w:hAnsi="Arial" w:cs="Arial"/>
          <w:color w:val="252525"/>
          <w:sz w:val="24"/>
          <w:szCs w:val="24"/>
        </w:rPr>
        <w:t> </w:t>
      </w:r>
    </w:p>
    <w:p w:rsidR="008E2913" w:rsidRPr="008E2913" w:rsidRDefault="008E2913" w:rsidP="008E2913">
      <w:pPr>
        <w:shd w:val="clear" w:color="auto" w:fill="F4F2EC"/>
        <w:spacing w:after="225" w:line="330" w:lineRule="atLeast"/>
        <w:rPr>
          <w:rFonts w:ascii="Arial" w:eastAsia="Times New Roman" w:hAnsi="Arial" w:cs="Arial"/>
          <w:color w:val="252525"/>
          <w:sz w:val="24"/>
          <w:szCs w:val="24"/>
        </w:rPr>
      </w:pPr>
      <w:bookmarkStart w:id="14" w:name=".695"/>
      <w:bookmarkEnd w:id="14"/>
      <w:r w:rsidRPr="008E2913">
        <w:rPr>
          <w:rFonts w:ascii="Arial" w:eastAsia="Times New Roman" w:hAnsi="Arial" w:cs="Arial"/>
          <w:b/>
          <w:bCs/>
          <w:color w:val="252525"/>
          <w:sz w:val="24"/>
          <w:szCs w:val="24"/>
        </w:rPr>
        <w:t>.695</w:t>
      </w:r>
      <w:proofErr w:type="gramStart"/>
      <w:r w:rsidRPr="008E2913">
        <w:rPr>
          <w:rFonts w:ascii="Arial" w:eastAsia="Times New Roman" w:hAnsi="Arial" w:cs="Arial"/>
          <w:b/>
          <w:bCs/>
          <w:color w:val="252525"/>
          <w:sz w:val="24"/>
          <w:szCs w:val="24"/>
        </w:rPr>
        <w:t>  HISTORY</w:t>
      </w:r>
      <w:proofErr w:type="gramEnd"/>
    </w:p>
    <w:p w:rsidR="008E2913" w:rsidRPr="008E2913" w:rsidRDefault="008E2913" w:rsidP="008E2913">
      <w:pPr>
        <w:shd w:val="clear" w:color="auto" w:fill="F4F2EC"/>
        <w:spacing w:after="225" w:line="330" w:lineRule="atLeast"/>
        <w:rPr>
          <w:rFonts w:ascii="Arial" w:eastAsia="Times New Roman" w:hAnsi="Arial" w:cs="Arial"/>
          <w:color w:val="252525"/>
          <w:sz w:val="24"/>
          <w:szCs w:val="24"/>
        </w:rPr>
      </w:pPr>
      <w:r w:rsidRPr="008E2913">
        <w:rPr>
          <w:rFonts w:ascii="Arial" w:eastAsia="Times New Roman" w:hAnsi="Arial" w:cs="Arial"/>
          <w:color w:val="252525"/>
          <w:sz w:val="24"/>
          <w:szCs w:val="24"/>
        </w:rPr>
        <w:t>12/12/08 - Updated (FASOM</w:t>
      </w:r>
      <w:proofErr w:type="gramStart"/>
      <w:r w:rsidRPr="008E2913">
        <w:rPr>
          <w:rFonts w:ascii="Arial" w:eastAsia="Times New Roman" w:hAnsi="Arial" w:cs="Arial"/>
          <w:color w:val="252525"/>
          <w:sz w:val="24"/>
          <w:szCs w:val="24"/>
        </w:rPr>
        <w:t>)</w:t>
      </w:r>
      <w:proofErr w:type="gramEnd"/>
      <w:r w:rsidRPr="008E2913">
        <w:rPr>
          <w:rFonts w:ascii="Arial" w:eastAsia="Times New Roman" w:hAnsi="Arial" w:cs="Arial"/>
          <w:color w:val="252525"/>
          <w:sz w:val="24"/>
          <w:szCs w:val="24"/>
        </w:rPr>
        <w:br/>
      </w:r>
      <w:r w:rsidRPr="008E2913">
        <w:rPr>
          <w:rFonts w:ascii="Arial" w:eastAsia="Times New Roman" w:hAnsi="Arial" w:cs="Arial"/>
          <w:color w:val="252525"/>
          <w:sz w:val="24"/>
          <w:szCs w:val="24"/>
        </w:rPr>
        <w:br/>
        <w:t>08/27/09 - Reformatted in Fiscal Policy Manual format and approved</w:t>
      </w:r>
    </w:p>
    <w:p w:rsidR="008E2913" w:rsidRPr="008E2913" w:rsidRDefault="008E2913" w:rsidP="008E2913">
      <w:pPr>
        <w:shd w:val="clear" w:color="auto" w:fill="F4F2EC"/>
        <w:spacing w:after="225" w:line="330" w:lineRule="atLeast"/>
        <w:rPr>
          <w:rFonts w:ascii="Arial" w:eastAsia="Times New Roman" w:hAnsi="Arial" w:cs="Arial"/>
          <w:color w:val="252525"/>
          <w:sz w:val="24"/>
          <w:szCs w:val="24"/>
        </w:rPr>
      </w:pPr>
      <w:r w:rsidRPr="008E2913">
        <w:rPr>
          <w:rFonts w:ascii="Arial" w:eastAsia="Times New Roman" w:hAnsi="Arial" w:cs="Arial"/>
          <w:i/>
          <w:iCs/>
          <w:color w:val="252525"/>
          <w:sz w:val="24"/>
          <w:szCs w:val="24"/>
        </w:rPr>
        <w:lastRenderedPageBreak/>
        <w:t>Policy Last Updated: 08/27/09</w:t>
      </w:r>
    </w:p>
    <w:p w:rsidR="008E2913" w:rsidRPr="008E2913" w:rsidRDefault="008E2913" w:rsidP="008E2913">
      <w:pPr>
        <w:shd w:val="clear" w:color="auto" w:fill="F4F2EC"/>
        <w:spacing w:before="330" w:after="330" w:line="330" w:lineRule="atLeast"/>
        <w:rPr>
          <w:rFonts w:ascii="Arial" w:eastAsia="Times New Roman" w:hAnsi="Arial" w:cs="Arial"/>
          <w:color w:val="252525"/>
          <w:sz w:val="24"/>
          <w:szCs w:val="24"/>
        </w:rPr>
      </w:pPr>
      <w:r w:rsidRPr="008E2913">
        <w:rPr>
          <w:rFonts w:ascii="Arial" w:eastAsia="Times New Roman" w:hAnsi="Arial" w:cs="Arial"/>
          <w:color w:val="252525"/>
          <w:sz w:val="24"/>
          <w:szCs w:val="24"/>
        </w:rPr>
        <w:pict>
          <v:rect id="_x0000_i1027" style="width:0;height:.75pt" o:hralign="center" o:hrstd="t" o:hr="t" fillcolor="#a0a0a0" stroked="f"/>
        </w:pict>
      </w:r>
    </w:p>
    <w:p w:rsidR="008E2913" w:rsidRPr="008E2913" w:rsidRDefault="008E2913" w:rsidP="008E2913">
      <w:pPr>
        <w:shd w:val="clear" w:color="auto" w:fill="F4F2EC"/>
        <w:spacing w:before="270" w:after="75" w:line="660" w:lineRule="atLeast"/>
        <w:outlineLvl w:val="2"/>
        <w:rPr>
          <w:rFonts w:ascii="inherit" w:eastAsia="Times New Roman" w:hAnsi="inherit" w:cs="Arial"/>
          <w:b/>
          <w:bCs/>
          <w:color w:val="660000"/>
          <w:sz w:val="29"/>
          <w:szCs w:val="29"/>
        </w:rPr>
      </w:pPr>
      <w:r w:rsidRPr="008E2913">
        <w:rPr>
          <w:rFonts w:ascii="inherit" w:eastAsia="Times New Roman" w:hAnsi="inherit" w:cs="Arial"/>
          <w:b/>
          <w:bCs/>
          <w:color w:val="660000"/>
          <w:sz w:val="29"/>
          <w:szCs w:val="29"/>
        </w:rPr>
        <w:t>APPENDIX</w:t>
      </w:r>
    </w:p>
    <w:p w:rsidR="008E2913" w:rsidRPr="008E2913" w:rsidRDefault="008E2913" w:rsidP="008E2913">
      <w:pPr>
        <w:shd w:val="clear" w:color="auto" w:fill="F4F2EC"/>
        <w:spacing w:before="330" w:after="330" w:line="330" w:lineRule="atLeast"/>
        <w:rPr>
          <w:rFonts w:ascii="Arial" w:eastAsia="Times New Roman" w:hAnsi="Arial" w:cs="Arial"/>
          <w:color w:val="252525"/>
          <w:sz w:val="24"/>
          <w:szCs w:val="24"/>
        </w:rPr>
      </w:pPr>
      <w:r w:rsidRPr="008E2913">
        <w:rPr>
          <w:rFonts w:ascii="Arial" w:eastAsia="Times New Roman" w:hAnsi="Arial" w:cs="Arial"/>
          <w:color w:val="252525"/>
          <w:sz w:val="24"/>
          <w:szCs w:val="24"/>
        </w:rPr>
        <w:pict>
          <v:rect id="_x0000_i1028" style="width:0;height:.75pt" o:hralign="center" o:hrstd="t" o:hr="t" fillcolor="#a0a0a0" stroked="f"/>
        </w:pict>
      </w:r>
    </w:p>
    <w:p w:rsidR="008E2913" w:rsidRPr="008E2913" w:rsidRDefault="008E2913" w:rsidP="008E2913">
      <w:pPr>
        <w:shd w:val="clear" w:color="auto" w:fill="F4F2EC"/>
        <w:spacing w:after="225" w:line="330" w:lineRule="atLeast"/>
        <w:rPr>
          <w:rFonts w:ascii="Arial" w:eastAsia="Times New Roman" w:hAnsi="Arial" w:cs="Arial"/>
          <w:color w:val="252525"/>
          <w:sz w:val="24"/>
          <w:szCs w:val="24"/>
        </w:rPr>
      </w:pPr>
      <w:bookmarkStart w:id="15" w:name=".700"/>
      <w:bookmarkEnd w:id="15"/>
      <w:r w:rsidRPr="008E2913">
        <w:rPr>
          <w:rFonts w:ascii="Arial" w:eastAsia="Times New Roman" w:hAnsi="Arial" w:cs="Arial"/>
          <w:b/>
          <w:bCs/>
          <w:color w:val="252525"/>
          <w:sz w:val="24"/>
          <w:szCs w:val="24"/>
        </w:rPr>
        <w:t>.700 TABLES AND FORMS</w:t>
      </w:r>
    </w:p>
    <w:p w:rsidR="008E2913" w:rsidRPr="008E2913" w:rsidRDefault="008E2913" w:rsidP="008E2913">
      <w:pPr>
        <w:shd w:val="clear" w:color="auto" w:fill="F4F2EC"/>
        <w:spacing w:after="225" w:line="330" w:lineRule="atLeast"/>
        <w:rPr>
          <w:rFonts w:ascii="Arial" w:eastAsia="Times New Roman" w:hAnsi="Arial" w:cs="Arial"/>
          <w:color w:val="252525"/>
          <w:sz w:val="24"/>
          <w:szCs w:val="24"/>
        </w:rPr>
      </w:pPr>
      <w:r w:rsidRPr="008E2913">
        <w:rPr>
          <w:rFonts w:ascii="Arial" w:eastAsia="Times New Roman" w:hAnsi="Arial" w:cs="Arial"/>
          <w:color w:val="252525"/>
          <w:sz w:val="24"/>
          <w:szCs w:val="24"/>
        </w:rPr>
        <w:t>     </w:t>
      </w:r>
      <w:r w:rsidRPr="008E2913">
        <w:rPr>
          <w:rFonts w:ascii="Arial" w:eastAsia="Times New Roman" w:hAnsi="Arial" w:cs="Arial"/>
          <w:b/>
          <w:bCs/>
          <w:color w:val="252525"/>
          <w:sz w:val="24"/>
          <w:szCs w:val="24"/>
        </w:rPr>
        <w:t>OUS Moving Expense Summary Tables:</w:t>
      </w:r>
    </w:p>
    <w:p w:rsidR="008E2913" w:rsidRPr="008E2913" w:rsidRDefault="008E2913" w:rsidP="008E2913">
      <w:pPr>
        <w:numPr>
          <w:ilvl w:val="0"/>
          <w:numId w:val="7"/>
        </w:numPr>
        <w:shd w:val="clear" w:color="auto" w:fill="F4F2EC"/>
        <w:spacing w:before="100" w:beforeAutospacing="1" w:after="90" w:line="300" w:lineRule="atLeast"/>
        <w:ind w:left="375"/>
        <w:rPr>
          <w:rFonts w:ascii="Arial" w:eastAsia="Times New Roman" w:hAnsi="Arial" w:cs="Arial"/>
          <w:color w:val="252525"/>
          <w:sz w:val="24"/>
          <w:szCs w:val="24"/>
        </w:rPr>
      </w:pPr>
      <w:hyperlink r:id="rId36" w:history="1">
        <w:r w:rsidRPr="008E2913">
          <w:rPr>
            <w:rFonts w:ascii="Arial" w:eastAsia="Times New Roman" w:hAnsi="Arial" w:cs="Arial"/>
            <w:color w:val="305CB6"/>
            <w:sz w:val="24"/>
            <w:szCs w:val="24"/>
          </w:rPr>
          <w:t>Moving expenses during 2013</w:t>
        </w:r>
      </w:hyperlink>
    </w:p>
    <w:p w:rsidR="008E2913" w:rsidRPr="008E2913" w:rsidRDefault="008E2913" w:rsidP="008E2913">
      <w:pPr>
        <w:numPr>
          <w:ilvl w:val="0"/>
          <w:numId w:val="7"/>
        </w:numPr>
        <w:shd w:val="clear" w:color="auto" w:fill="F4F2EC"/>
        <w:spacing w:before="100" w:beforeAutospacing="1" w:after="90" w:line="300" w:lineRule="atLeast"/>
        <w:ind w:left="375"/>
        <w:rPr>
          <w:rFonts w:ascii="Arial" w:eastAsia="Times New Roman" w:hAnsi="Arial" w:cs="Arial"/>
          <w:color w:val="252525"/>
          <w:sz w:val="24"/>
          <w:szCs w:val="24"/>
        </w:rPr>
      </w:pPr>
      <w:hyperlink r:id="rId37" w:history="1">
        <w:r w:rsidRPr="008E2913">
          <w:rPr>
            <w:rFonts w:ascii="Arial" w:eastAsia="Times New Roman" w:hAnsi="Arial" w:cs="Arial"/>
            <w:color w:val="305CB6"/>
            <w:sz w:val="24"/>
            <w:szCs w:val="24"/>
          </w:rPr>
          <w:t>Moving expenses on or after January 1, 2014</w:t>
        </w:r>
      </w:hyperlink>
    </w:p>
    <w:p w:rsidR="008E2913" w:rsidRPr="008E2913" w:rsidRDefault="008E2913" w:rsidP="008E2913">
      <w:pPr>
        <w:shd w:val="clear" w:color="auto" w:fill="F4F2EC"/>
        <w:spacing w:after="225" w:line="330" w:lineRule="atLeast"/>
        <w:rPr>
          <w:rFonts w:ascii="Arial" w:eastAsia="Times New Roman" w:hAnsi="Arial" w:cs="Arial"/>
          <w:color w:val="252525"/>
          <w:sz w:val="24"/>
          <w:szCs w:val="24"/>
        </w:rPr>
      </w:pPr>
      <w:r w:rsidRPr="008E2913">
        <w:rPr>
          <w:rFonts w:ascii="Arial" w:eastAsia="Times New Roman" w:hAnsi="Arial" w:cs="Arial"/>
          <w:color w:val="252525"/>
          <w:sz w:val="24"/>
          <w:szCs w:val="24"/>
        </w:rPr>
        <w:t>     </w:t>
      </w:r>
      <w:hyperlink r:id="rId38" w:history="1">
        <w:r w:rsidRPr="008E2913">
          <w:rPr>
            <w:rFonts w:ascii="Arial" w:eastAsia="Times New Roman" w:hAnsi="Arial" w:cs="Arial"/>
            <w:b/>
            <w:bCs/>
            <w:color w:val="305CB6"/>
            <w:sz w:val="24"/>
            <w:szCs w:val="24"/>
          </w:rPr>
          <w:t>Sample request for reimbursement of relocation expenses</w:t>
        </w:r>
      </w:hyperlink>
    </w:p>
    <w:p w:rsidR="008E2913" w:rsidRPr="008E2913" w:rsidRDefault="008E2913" w:rsidP="008E2913">
      <w:pPr>
        <w:shd w:val="clear" w:color="auto" w:fill="F4F2EC"/>
        <w:spacing w:after="225" w:line="330" w:lineRule="atLeast"/>
        <w:rPr>
          <w:rFonts w:ascii="Arial" w:eastAsia="Times New Roman" w:hAnsi="Arial" w:cs="Arial"/>
          <w:color w:val="252525"/>
          <w:sz w:val="24"/>
          <w:szCs w:val="24"/>
        </w:rPr>
      </w:pPr>
      <w:bookmarkStart w:id="16" w:name=".710"/>
      <w:bookmarkEnd w:id="16"/>
      <w:r w:rsidRPr="008E2913">
        <w:rPr>
          <w:rFonts w:ascii="Arial" w:eastAsia="Times New Roman" w:hAnsi="Arial" w:cs="Arial"/>
          <w:b/>
          <w:bCs/>
          <w:color w:val="252525"/>
          <w:sz w:val="24"/>
          <w:szCs w:val="24"/>
        </w:rPr>
        <w:t>.710 NON-TAXABLE REIMBURSEMENTS</w:t>
      </w:r>
    </w:p>
    <w:p w:rsidR="008E2913" w:rsidRPr="008E2913" w:rsidRDefault="008E2913" w:rsidP="008E2913">
      <w:pPr>
        <w:numPr>
          <w:ilvl w:val="0"/>
          <w:numId w:val="8"/>
        </w:numPr>
        <w:shd w:val="clear" w:color="auto" w:fill="F4F2EC"/>
        <w:spacing w:before="100" w:beforeAutospacing="1" w:after="100" w:afterAutospacing="1" w:line="330" w:lineRule="atLeast"/>
        <w:ind w:left="375"/>
        <w:rPr>
          <w:rFonts w:ascii="Arial" w:eastAsia="Times New Roman" w:hAnsi="Arial" w:cs="Arial"/>
          <w:color w:val="252525"/>
          <w:sz w:val="24"/>
          <w:szCs w:val="24"/>
        </w:rPr>
      </w:pPr>
      <w:r w:rsidRPr="008E2913">
        <w:rPr>
          <w:rFonts w:ascii="Arial" w:eastAsia="Times New Roman" w:hAnsi="Arial" w:cs="Arial"/>
          <w:color w:val="252525"/>
          <w:sz w:val="24"/>
          <w:szCs w:val="24"/>
        </w:rPr>
        <w:t>The following are non-taxable moving expense reimbursements:</w:t>
      </w:r>
    </w:p>
    <w:p w:rsidR="008E2913" w:rsidRPr="008E2913" w:rsidRDefault="008E2913" w:rsidP="008E2913">
      <w:pPr>
        <w:numPr>
          <w:ilvl w:val="1"/>
          <w:numId w:val="8"/>
        </w:numPr>
        <w:shd w:val="clear" w:color="auto" w:fill="F4F2EC"/>
        <w:spacing w:before="100" w:beforeAutospacing="1" w:after="100" w:afterAutospacing="1" w:line="330" w:lineRule="atLeast"/>
        <w:ind w:left="750"/>
        <w:rPr>
          <w:rFonts w:ascii="Arial" w:eastAsia="Times New Roman" w:hAnsi="Arial" w:cs="Arial"/>
          <w:color w:val="252525"/>
          <w:sz w:val="24"/>
          <w:szCs w:val="24"/>
        </w:rPr>
      </w:pPr>
      <w:r w:rsidRPr="008E2913">
        <w:rPr>
          <w:rFonts w:ascii="Arial" w:eastAsia="Times New Roman" w:hAnsi="Arial" w:cs="Arial"/>
          <w:color w:val="252525"/>
          <w:sz w:val="24"/>
          <w:szCs w:val="24"/>
          <w:u w:val="single"/>
        </w:rPr>
        <w:t>Moving and storage of household goods</w:t>
      </w:r>
      <w:r w:rsidRPr="008E2913">
        <w:rPr>
          <w:rFonts w:ascii="Arial" w:eastAsia="Times New Roman" w:hAnsi="Arial" w:cs="Arial"/>
          <w:color w:val="252525"/>
          <w:sz w:val="24"/>
          <w:szCs w:val="24"/>
        </w:rPr>
        <w:t> - The distance from the employee's former home to his or her new work location must be 50 miles farther than the distance from the employee's former home to his or her former work location (distance test). Also, the employee must be expected to work full time in the new location for a least 39 weeks during the 12 months following the move (time test). A deduction is allowed for the expense of storing and insuring items within the 30-day period after moving out of the former home and before delivery to the new residence. If the distance test and the time test are not met, the reimbursements are considered taxable compensation.</w:t>
      </w:r>
    </w:p>
    <w:p w:rsidR="008E2913" w:rsidRPr="008E2913" w:rsidRDefault="008E2913" w:rsidP="008E2913">
      <w:pPr>
        <w:numPr>
          <w:ilvl w:val="1"/>
          <w:numId w:val="8"/>
        </w:numPr>
        <w:shd w:val="clear" w:color="auto" w:fill="F4F2EC"/>
        <w:spacing w:before="100" w:beforeAutospacing="1" w:after="100" w:afterAutospacing="1" w:line="330" w:lineRule="atLeast"/>
        <w:ind w:left="750"/>
        <w:rPr>
          <w:rFonts w:ascii="Arial" w:eastAsia="Times New Roman" w:hAnsi="Arial" w:cs="Arial"/>
          <w:color w:val="252525"/>
          <w:sz w:val="24"/>
          <w:szCs w:val="24"/>
        </w:rPr>
      </w:pPr>
      <w:r w:rsidRPr="008E2913">
        <w:rPr>
          <w:rFonts w:ascii="Arial" w:eastAsia="Times New Roman" w:hAnsi="Arial" w:cs="Arial"/>
          <w:color w:val="252525"/>
          <w:sz w:val="24"/>
          <w:szCs w:val="24"/>
          <w:u w:val="single"/>
        </w:rPr>
        <w:t>Transportation and lodging while moving from the old residence to the new residence</w:t>
      </w:r>
      <w:r w:rsidRPr="008E2913">
        <w:rPr>
          <w:rFonts w:ascii="Arial" w:eastAsia="Times New Roman" w:hAnsi="Arial" w:cs="Arial"/>
          <w:color w:val="252525"/>
          <w:sz w:val="24"/>
          <w:szCs w:val="24"/>
        </w:rPr>
        <w:t> - Taxes will not be withheld from reimbursements made to cover transportation and lodging for a one-way trip from the old residence to the new residence. However, taxes will be withheld if an employee is reimbursed for additional trips. The distance test and time test as stated above must also be satisfied. Note: amounts reimbursed for meals are always taxable. (See </w:t>
      </w:r>
      <w:hyperlink r:id="rId39" w:anchor=".720" w:history="1">
        <w:r w:rsidRPr="008E2913">
          <w:rPr>
            <w:rFonts w:ascii="Arial" w:eastAsia="Times New Roman" w:hAnsi="Arial" w:cs="Arial"/>
            <w:color w:val="305CB6"/>
            <w:sz w:val="24"/>
            <w:szCs w:val="24"/>
          </w:rPr>
          <w:t>.720</w:t>
        </w:r>
      </w:hyperlink>
      <w:r w:rsidRPr="008E2913">
        <w:rPr>
          <w:rFonts w:ascii="Arial" w:eastAsia="Times New Roman" w:hAnsi="Arial" w:cs="Arial"/>
          <w:color w:val="252525"/>
          <w:sz w:val="24"/>
          <w:szCs w:val="24"/>
        </w:rPr>
        <w:t>Taxable Reimbursements, below.)</w:t>
      </w:r>
    </w:p>
    <w:p w:rsidR="008E2913" w:rsidRPr="008E2913" w:rsidRDefault="008E2913" w:rsidP="008E2913">
      <w:pPr>
        <w:shd w:val="clear" w:color="auto" w:fill="F4F2EC"/>
        <w:spacing w:line="240" w:lineRule="auto"/>
        <w:rPr>
          <w:rFonts w:ascii="Arial" w:eastAsia="Times New Roman" w:hAnsi="Arial" w:cs="Arial"/>
          <w:i/>
          <w:iCs/>
          <w:color w:val="252525"/>
          <w:sz w:val="30"/>
          <w:szCs w:val="30"/>
        </w:rPr>
      </w:pPr>
      <w:r w:rsidRPr="008E2913">
        <w:rPr>
          <w:rFonts w:ascii="Arial" w:eastAsia="Times New Roman" w:hAnsi="Arial" w:cs="Arial"/>
          <w:i/>
          <w:iCs/>
          <w:color w:val="252525"/>
          <w:sz w:val="30"/>
          <w:szCs w:val="30"/>
        </w:rPr>
        <w:t>(See Appendix section </w:t>
      </w:r>
      <w:hyperlink r:id="rId40" w:anchor=".700" w:history="1">
        <w:r w:rsidRPr="008E2913">
          <w:rPr>
            <w:rFonts w:ascii="Arial" w:eastAsia="Times New Roman" w:hAnsi="Arial" w:cs="Arial"/>
            <w:i/>
            <w:iCs/>
            <w:color w:val="305CB6"/>
            <w:sz w:val="30"/>
            <w:szCs w:val="30"/>
          </w:rPr>
          <w:t>.700</w:t>
        </w:r>
      </w:hyperlink>
      <w:r w:rsidRPr="008E2913">
        <w:rPr>
          <w:rFonts w:ascii="Arial" w:eastAsia="Times New Roman" w:hAnsi="Arial" w:cs="Arial"/>
          <w:i/>
          <w:iCs/>
          <w:color w:val="252525"/>
          <w:sz w:val="30"/>
          <w:szCs w:val="30"/>
        </w:rPr>
        <w:t>, Tables and Forms, OUS Moving Expense Summary Table.)</w:t>
      </w:r>
    </w:p>
    <w:p w:rsidR="008E2913" w:rsidRPr="008E2913" w:rsidRDefault="008E2913" w:rsidP="008E2913">
      <w:pPr>
        <w:numPr>
          <w:ilvl w:val="0"/>
          <w:numId w:val="9"/>
        </w:numPr>
        <w:shd w:val="clear" w:color="auto" w:fill="F4F2EC"/>
        <w:spacing w:before="100" w:beforeAutospacing="1" w:after="100" w:afterAutospacing="1" w:line="330" w:lineRule="atLeast"/>
        <w:ind w:left="375"/>
        <w:rPr>
          <w:rFonts w:ascii="Arial" w:eastAsia="Times New Roman" w:hAnsi="Arial" w:cs="Arial"/>
          <w:color w:val="252525"/>
          <w:sz w:val="24"/>
          <w:szCs w:val="24"/>
        </w:rPr>
      </w:pPr>
      <w:r w:rsidRPr="008E2913">
        <w:rPr>
          <w:rFonts w:ascii="Arial" w:eastAsia="Times New Roman" w:hAnsi="Arial" w:cs="Arial"/>
          <w:color w:val="252525"/>
          <w:sz w:val="24"/>
          <w:szCs w:val="24"/>
        </w:rPr>
        <w:lastRenderedPageBreak/>
        <w:t>Payment Method: Pay through accounts payable using account code 10790.</w:t>
      </w:r>
    </w:p>
    <w:p w:rsidR="008E2913" w:rsidRPr="008E2913" w:rsidRDefault="008E2913" w:rsidP="008E2913">
      <w:pPr>
        <w:numPr>
          <w:ilvl w:val="0"/>
          <w:numId w:val="9"/>
        </w:numPr>
        <w:shd w:val="clear" w:color="auto" w:fill="F4F2EC"/>
        <w:spacing w:before="100" w:beforeAutospacing="1" w:after="100" w:afterAutospacing="1" w:line="330" w:lineRule="atLeast"/>
        <w:ind w:left="375"/>
        <w:rPr>
          <w:rFonts w:ascii="Arial" w:eastAsia="Times New Roman" w:hAnsi="Arial" w:cs="Arial"/>
          <w:color w:val="252525"/>
          <w:sz w:val="24"/>
          <w:szCs w:val="24"/>
        </w:rPr>
      </w:pPr>
      <w:r w:rsidRPr="008E2913">
        <w:rPr>
          <w:rFonts w:ascii="Arial" w:eastAsia="Times New Roman" w:hAnsi="Arial" w:cs="Arial"/>
          <w:color w:val="252525"/>
          <w:sz w:val="24"/>
          <w:szCs w:val="24"/>
        </w:rPr>
        <w:t>Reporting: Non-taxable reimbursements will appear as a memo entry only in box 13 of the employee's W-2. Subject gross and taxes will not be affected.</w:t>
      </w:r>
    </w:p>
    <w:p w:rsidR="008E2913" w:rsidRPr="008E2913" w:rsidRDefault="008E2913" w:rsidP="008E2913">
      <w:pPr>
        <w:shd w:val="clear" w:color="auto" w:fill="F4F2EC"/>
        <w:spacing w:after="225" w:line="330" w:lineRule="atLeast"/>
        <w:rPr>
          <w:rFonts w:ascii="Arial" w:eastAsia="Times New Roman" w:hAnsi="Arial" w:cs="Arial"/>
          <w:color w:val="252525"/>
          <w:sz w:val="24"/>
          <w:szCs w:val="24"/>
        </w:rPr>
      </w:pPr>
      <w:bookmarkStart w:id="17" w:name=".720"/>
      <w:bookmarkEnd w:id="17"/>
      <w:r w:rsidRPr="008E2913">
        <w:rPr>
          <w:rFonts w:ascii="Arial" w:eastAsia="Times New Roman" w:hAnsi="Arial" w:cs="Arial"/>
          <w:b/>
          <w:bCs/>
          <w:color w:val="252525"/>
          <w:sz w:val="24"/>
          <w:szCs w:val="24"/>
        </w:rPr>
        <w:t>.720 TAXABLE REIMBURSEMENTS</w:t>
      </w:r>
    </w:p>
    <w:p w:rsidR="008E2913" w:rsidRPr="008E2913" w:rsidRDefault="008E2913" w:rsidP="008E2913">
      <w:pPr>
        <w:numPr>
          <w:ilvl w:val="0"/>
          <w:numId w:val="10"/>
        </w:numPr>
        <w:shd w:val="clear" w:color="auto" w:fill="F4F2EC"/>
        <w:spacing w:before="100" w:beforeAutospacing="1" w:after="100" w:afterAutospacing="1" w:line="330" w:lineRule="atLeast"/>
        <w:ind w:left="375"/>
        <w:rPr>
          <w:rFonts w:ascii="Arial" w:eastAsia="Times New Roman" w:hAnsi="Arial" w:cs="Arial"/>
          <w:color w:val="252525"/>
          <w:sz w:val="24"/>
          <w:szCs w:val="24"/>
        </w:rPr>
      </w:pPr>
      <w:r w:rsidRPr="008E2913">
        <w:rPr>
          <w:rFonts w:ascii="Arial" w:eastAsia="Times New Roman" w:hAnsi="Arial" w:cs="Arial"/>
          <w:color w:val="252525"/>
          <w:sz w:val="24"/>
          <w:szCs w:val="24"/>
        </w:rPr>
        <w:t>(See Appendix section </w:t>
      </w:r>
      <w:hyperlink r:id="rId41" w:anchor=".700" w:history="1">
        <w:r w:rsidRPr="008E2913">
          <w:rPr>
            <w:rFonts w:ascii="Arial" w:eastAsia="Times New Roman" w:hAnsi="Arial" w:cs="Arial"/>
            <w:color w:val="305CB6"/>
            <w:sz w:val="24"/>
            <w:szCs w:val="24"/>
          </w:rPr>
          <w:t>.700</w:t>
        </w:r>
      </w:hyperlink>
      <w:r w:rsidRPr="008E2913">
        <w:rPr>
          <w:rFonts w:ascii="Arial" w:eastAsia="Times New Roman" w:hAnsi="Arial" w:cs="Arial"/>
          <w:color w:val="252525"/>
          <w:sz w:val="24"/>
          <w:szCs w:val="24"/>
        </w:rPr>
        <w:t>, Tables and Forms, OUS Moving Expense Summary Table.)</w:t>
      </w:r>
    </w:p>
    <w:p w:rsidR="008E2913" w:rsidRPr="008E2913" w:rsidRDefault="008E2913" w:rsidP="008E2913">
      <w:pPr>
        <w:numPr>
          <w:ilvl w:val="0"/>
          <w:numId w:val="10"/>
        </w:numPr>
        <w:shd w:val="clear" w:color="auto" w:fill="F4F2EC"/>
        <w:spacing w:before="100" w:beforeAutospacing="1" w:after="100" w:afterAutospacing="1" w:line="330" w:lineRule="atLeast"/>
        <w:ind w:left="375"/>
        <w:rPr>
          <w:rFonts w:ascii="Arial" w:eastAsia="Times New Roman" w:hAnsi="Arial" w:cs="Arial"/>
          <w:color w:val="252525"/>
          <w:sz w:val="24"/>
          <w:szCs w:val="24"/>
        </w:rPr>
      </w:pPr>
      <w:r w:rsidRPr="008E2913">
        <w:rPr>
          <w:rFonts w:ascii="Arial" w:eastAsia="Times New Roman" w:hAnsi="Arial" w:cs="Arial"/>
          <w:color w:val="252525"/>
          <w:sz w:val="24"/>
          <w:szCs w:val="24"/>
        </w:rPr>
        <w:t>Payment Methods: There are two options for paying taxable moving expenses:</w:t>
      </w:r>
    </w:p>
    <w:p w:rsidR="008E2913" w:rsidRPr="008E2913" w:rsidRDefault="008E2913" w:rsidP="008E2913">
      <w:pPr>
        <w:numPr>
          <w:ilvl w:val="1"/>
          <w:numId w:val="10"/>
        </w:numPr>
        <w:shd w:val="clear" w:color="auto" w:fill="F4F2EC"/>
        <w:spacing w:before="100" w:beforeAutospacing="1" w:after="100" w:afterAutospacing="1" w:line="330" w:lineRule="atLeast"/>
        <w:ind w:left="750"/>
        <w:rPr>
          <w:rFonts w:ascii="Arial" w:eastAsia="Times New Roman" w:hAnsi="Arial" w:cs="Arial"/>
          <w:color w:val="252525"/>
          <w:sz w:val="24"/>
          <w:szCs w:val="24"/>
        </w:rPr>
      </w:pPr>
      <w:r w:rsidRPr="008E2913">
        <w:rPr>
          <w:rFonts w:ascii="Arial" w:eastAsia="Times New Roman" w:hAnsi="Arial" w:cs="Arial"/>
          <w:color w:val="252525"/>
          <w:sz w:val="24"/>
          <w:szCs w:val="24"/>
        </w:rPr>
        <w:t>Submit through the payroll system using account code 10217. The employee will receive a check for the net amount after taxes are withheld.</w:t>
      </w:r>
    </w:p>
    <w:p w:rsidR="008E2913" w:rsidRPr="008E2913" w:rsidRDefault="008E2913" w:rsidP="008E2913">
      <w:pPr>
        <w:numPr>
          <w:ilvl w:val="1"/>
          <w:numId w:val="10"/>
        </w:numPr>
        <w:shd w:val="clear" w:color="auto" w:fill="F4F2EC"/>
        <w:spacing w:before="100" w:beforeAutospacing="1" w:after="100" w:afterAutospacing="1" w:line="330" w:lineRule="atLeast"/>
        <w:ind w:left="750"/>
        <w:rPr>
          <w:rFonts w:ascii="Arial" w:eastAsia="Times New Roman" w:hAnsi="Arial" w:cs="Arial"/>
          <w:color w:val="252525"/>
          <w:sz w:val="24"/>
          <w:szCs w:val="24"/>
        </w:rPr>
      </w:pPr>
      <w:r w:rsidRPr="008E2913">
        <w:rPr>
          <w:rFonts w:ascii="Arial" w:eastAsia="Times New Roman" w:hAnsi="Arial" w:cs="Arial"/>
          <w:color w:val="252525"/>
          <w:sz w:val="24"/>
          <w:szCs w:val="24"/>
        </w:rPr>
        <w:t>Pay through accounts payable using account code 10780. This is appropriate when the reimbursement is to an outside vendor. The amount of the moving expense reimbursement received through the accounts payable system is added to the employee's gross pay so additional taxes will be withheld.</w:t>
      </w:r>
    </w:p>
    <w:p w:rsidR="008E2913" w:rsidRPr="008E2913" w:rsidRDefault="008E2913" w:rsidP="008E2913">
      <w:pPr>
        <w:numPr>
          <w:ilvl w:val="0"/>
          <w:numId w:val="10"/>
        </w:numPr>
        <w:shd w:val="clear" w:color="auto" w:fill="F4F2EC"/>
        <w:spacing w:before="100" w:beforeAutospacing="1" w:after="100" w:afterAutospacing="1" w:line="330" w:lineRule="atLeast"/>
        <w:ind w:left="375"/>
        <w:rPr>
          <w:rFonts w:ascii="Arial" w:eastAsia="Times New Roman" w:hAnsi="Arial" w:cs="Arial"/>
          <w:color w:val="252525"/>
          <w:sz w:val="24"/>
          <w:szCs w:val="24"/>
        </w:rPr>
      </w:pPr>
      <w:r w:rsidRPr="008E2913">
        <w:rPr>
          <w:rFonts w:ascii="Arial" w:eastAsia="Times New Roman" w:hAnsi="Arial" w:cs="Arial"/>
          <w:color w:val="252525"/>
          <w:sz w:val="24"/>
          <w:szCs w:val="24"/>
        </w:rPr>
        <w:t>Reporting: The taxable portion of moving expense reimbursements will be included in subject gross, social security gross, and Medicare gross on an IRS Form W-2. The amounts in the tax boxes will also reflect additional withholding.</w:t>
      </w:r>
    </w:p>
    <w:p w:rsidR="008E2913" w:rsidRPr="008E2913" w:rsidRDefault="008E2913" w:rsidP="008E2913">
      <w:pPr>
        <w:shd w:val="clear" w:color="auto" w:fill="F4F2EC"/>
        <w:spacing w:after="225" w:line="330" w:lineRule="atLeast"/>
        <w:rPr>
          <w:rFonts w:ascii="Arial" w:eastAsia="Times New Roman" w:hAnsi="Arial" w:cs="Arial"/>
          <w:color w:val="252525"/>
          <w:sz w:val="24"/>
          <w:szCs w:val="24"/>
        </w:rPr>
      </w:pPr>
      <w:bookmarkStart w:id="18" w:name=".995"/>
      <w:bookmarkEnd w:id="18"/>
      <w:r w:rsidRPr="008E2913">
        <w:rPr>
          <w:rFonts w:ascii="Arial" w:eastAsia="Times New Roman" w:hAnsi="Arial" w:cs="Arial"/>
          <w:b/>
          <w:bCs/>
          <w:color w:val="252525"/>
          <w:sz w:val="24"/>
          <w:szCs w:val="24"/>
        </w:rPr>
        <w:t xml:space="preserve">.995 </w:t>
      </w:r>
      <w:proofErr w:type="gramStart"/>
      <w:r w:rsidRPr="008E2913">
        <w:rPr>
          <w:rFonts w:ascii="Arial" w:eastAsia="Times New Roman" w:hAnsi="Arial" w:cs="Arial"/>
          <w:b/>
          <w:bCs/>
          <w:color w:val="252525"/>
          <w:sz w:val="24"/>
          <w:szCs w:val="24"/>
        </w:rPr>
        <w:t>HISTORY</w:t>
      </w:r>
      <w:proofErr w:type="gramEnd"/>
    </w:p>
    <w:p w:rsidR="008E2913" w:rsidRPr="008E2913" w:rsidRDefault="008E2913" w:rsidP="008E2913">
      <w:pPr>
        <w:shd w:val="clear" w:color="auto" w:fill="F4F2EC"/>
        <w:spacing w:after="225" w:line="330" w:lineRule="atLeast"/>
        <w:rPr>
          <w:rFonts w:ascii="Arial" w:eastAsia="Times New Roman" w:hAnsi="Arial" w:cs="Arial"/>
          <w:color w:val="252525"/>
          <w:sz w:val="24"/>
          <w:szCs w:val="24"/>
        </w:rPr>
      </w:pPr>
      <w:r w:rsidRPr="008E2913">
        <w:rPr>
          <w:rFonts w:ascii="Arial" w:eastAsia="Times New Roman" w:hAnsi="Arial" w:cs="Arial"/>
          <w:color w:val="252525"/>
          <w:sz w:val="24"/>
          <w:szCs w:val="24"/>
        </w:rPr>
        <w:t>12/12/08 - Updated (FASOM)</w:t>
      </w:r>
    </w:p>
    <w:p w:rsidR="008E2913" w:rsidRPr="008E2913" w:rsidRDefault="008E2913" w:rsidP="008E2913">
      <w:pPr>
        <w:shd w:val="clear" w:color="auto" w:fill="F4F2EC"/>
        <w:spacing w:after="225" w:line="330" w:lineRule="atLeast"/>
        <w:rPr>
          <w:rFonts w:ascii="Arial" w:eastAsia="Times New Roman" w:hAnsi="Arial" w:cs="Arial"/>
          <w:color w:val="252525"/>
          <w:sz w:val="24"/>
          <w:szCs w:val="24"/>
        </w:rPr>
      </w:pPr>
      <w:r w:rsidRPr="008E2913">
        <w:rPr>
          <w:rFonts w:ascii="Arial" w:eastAsia="Times New Roman" w:hAnsi="Arial" w:cs="Arial"/>
          <w:color w:val="252525"/>
          <w:sz w:val="24"/>
          <w:szCs w:val="24"/>
        </w:rPr>
        <w:t>08/27/09 - Reformatted in Fiscal Policy Manual format and approved</w:t>
      </w:r>
    </w:p>
    <w:p w:rsidR="008E2913" w:rsidRPr="008E2913" w:rsidRDefault="008E2913" w:rsidP="008E2913">
      <w:pPr>
        <w:shd w:val="clear" w:color="auto" w:fill="F4F2EC"/>
        <w:spacing w:after="225" w:line="330" w:lineRule="atLeast"/>
        <w:rPr>
          <w:rFonts w:ascii="Arial" w:eastAsia="Times New Roman" w:hAnsi="Arial" w:cs="Arial"/>
          <w:color w:val="252525"/>
          <w:sz w:val="24"/>
          <w:szCs w:val="24"/>
        </w:rPr>
      </w:pPr>
      <w:r w:rsidRPr="008E2913">
        <w:rPr>
          <w:rFonts w:ascii="Arial" w:eastAsia="Times New Roman" w:hAnsi="Arial" w:cs="Arial"/>
          <w:color w:val="252525"/>
          <w:sz w:val="24"/>
          <w:szCs w:val="24"/>
        </w:rPr>
        <w:t>12/30/09 - Moving Expense Summary Table (section .700) updated with new reimbursement rates, effective January 1, 2010</w:t>
      </w:r>
    </w:p>
    <w:p w:rsidR="008E2913" w:rsidRPr="008E2913" w:rsidRDefault="008E2913" w:rsidP="008E2913">
      <w:pPr>
        <w:shd w:val="clear" w:color="auto" w:fill="F4F2EC"/>
        <w:spacing w:after="225" w:line="330" w:lineRule="atLeast"/>
        <w:rPr>
          <w:rFonts w:ascii="Arial" w:eastAsia="Times New Roman" w:hAnsi="Arial" w:cs="Arial"/>
          <w:color w:val="252525"/>
          <w:sz w:val="24"/>
          <w:szCs w:val="24"/>
        </w:rPr>
      </w:pPr>
      <w:r w:rsidRPr="008E2913">
        <w:rPr>
          <w:rFonts w:ascii="Arial" w:eastAsia="Times New Roman" w:hAnsi="Arial" w:cs="Arial"/>
          <w:color w:val="252525"/>
          <w:sz w:val="24"/>
          <w:szCs w:val="24"/>
        </w:rPr>
        <w:t>12/30/11 - Moving Expense Summary Table (section .700) updated with new reimbursement rates, effective January 1, 2012</w:t>
      </w:r>
    </w:p>
    <w:p w:rsidR="008E2913" w:rsidRPr="008E2913" w:rsidRDefault="008E2913" w:rsidP="008E2913">
      <w:pPr>
        <w:shd w:val="clear" w:color="auto" w:fill="F4F2EC"/>
        <w:spacing w:after="225" w:line="330" w:lineRule="atLeast"/>
        <w:rPr>
          <w:rFonts w:ascii="Arial" w:eastAsia="Times New Roman" w:hAnsi="Arial" w:cs="Arial"/>
          <w:color w:val="252525"/>
          <w:sz w:val="24"/>
          <w:szCs w:val="24"/>
        </w:rPr>
      </w:pPr>
      <w:r w:rsidRPr="008E2913">
        <w:rPr>
          <w:rFonts w:ascii="Arial" w:eastAsia="Times New Roman" w:hAnsi="Arial" w:cs="Arial"/>
          <w:color w:val="252525"/>
          <w:sz w:val="24"/>
          <w:szCs w:val="24"/>
        </w:rPr>
        <w:t>4/24/12 - Moving Expense Summary Table (section .700) updated with new reimbursement rates, effective May 1, 2012</w:t>
      </w:r>
    </w:p>
    <w:p w:rsidR="008E2913" w:rsidRPr="008E2913" w:rsidRDefault="008E2913" w:rsidP="008E2913">
      <w:pPr>
        <w:shd w:val="clear" w:color="auto" w:fill="F4F2EC"/>
        <w:spacing w:after="225" w:line="330" w:lineRule="atLeast"/>
        <w:rPr>
          <w:rFonts w:ascii="Arial" w:eastAsia="Times New Roman" w:hAnsi="Arial" w:cs="Arial"/>
          <w:color w:val="252525"/>
          <w:sz w:val="24"/>
          <w:szCs w:val="24"/>
        </w:rPr>
      </w:pPr>
      <w:r w:rsidRPr="008E2913">
        <w:rPr>
          <w:rFonts w:ascii="Arial" w:eastAsia="Times New Roman" w:hAnsi="Arial" w:cs="Arial"/>
          <w:color w:val="252525"/>
          <w:sz w:val="24"/>
          <w:szCs w:val="24"/>
        </w:rPr>
        <w:t>1/4/13 - Moving Expense Summary Table (section .700) updated with new reimbursement rates, effective Jan. 1, 2013</w:t>
      </w:r>
    </w:p>
    <w:p w:rsidR="008E2913" w:rsidRPr="008E2913" w:rsidRDefault="008E2913" w:rsidP="008E2913">
      <w:pPr>
        <w:shd w:val="clear" w:color="auto" w:fill="F4F2EC"/>
        <w:spacing w:after="225" w:line="330" w:lineRule="atLeast"/>
        <w:rPr>
          <w:rFonts w:ascii="Arial" w:eastAsia="Times New Roman" w:hAnsi="Arial" w:cs="Arial"/>
          <w:color w:val="252525"/>
          <w:sz w:val="24"/>
          <w:szCs w:val="24"/>
        </w:rPr>
      </w:pPr>
      <w:r w:rsidRPr="008E2913">
        <w:rPr>
          <w:rFonts w:ascii="Arial" w:eastAsia="Times New Roman" w:hAnsi="Arial" w:cs="Arial"/>
          <w:color w:val="252525"/>
          <w:sz w:val="24"/>
          <w:szCs w:val="24"/>
        </w:rPr>
        <w:t>1/1/14 - Moving Expense Summary Table (section .700) updated with new reimbursement rates, effective Jan. 1, 2014</w:t>
      </w:r>
    </w:p>
    <w:p w:rsidR="008E2913" w:rsidRPr="008E2913" w:rsidRDefault="008E2913" w:rsidP="008E2913">
      <w:pPr>
        <w:shd w:val="clear" w:color="auto" w:fill="F4F2EC"/>
        <w:spacing w:line="330" w:lineRule="atLeast"/>
        <w:rPr>
          <w:rFonts w:ascii="Arial" w:eastAsia="Times New Roman" w:hAnsi="Arial" w:cs="Arial"/>
          <w:color w:val="252525"/>
          <w:sz w:val="24"/>
          <w:szCs w:val="24"/>
        </w:rPr>
      </w:pPr>
      <w:r w:rsidRPr="008E2913">
        <w:rPr>
          <w:rFonts w:ascii="Arial" w:eastAsia="Times New Roman" w:hAnsi="Arial" w:cs="Arial"/>
          <w:i/>
          <w:iCs/>
          <w:color w:val="252525"/>
          <w:sz w:val="24"/>
          <w:szCs w:val="24"/>
        </w:rPr>
        <w:t>Appendix Last Updated: 1/01/2014</w:t>
      </w:r>
    </w:p>
    <w:p w:rsidR="003E2043" w:rsidRDefault="003E2043">
      <w:bookmarkStart w:id="19" w:name="_GoBack"/>
      <w:bookmarkEnd w:id="19"/>
    </w:p>
    <w:sectPr w:rsidR="003E20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93848"/>
    <w:multiLevelType w:val="multilevel"/>
    <w:tmpl w:val="DA4C1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D607AD"/>
    <w:multiLevelType w:val="multilevel"/>
    <w:tmpl w:val="4FA62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FF4EFA"/>
    <w:multiLevelType w:val="multilevel"/>
    <w:tmpl w:val="1902A4E2"/>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612482D"/>
    <w:multiLevelType w:val="multilevel"/>
    <w:tmpl w:val="63400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3F69F6"/>
    <w:multiLevelType w:val="multilevel"/>
    <w:tmpl w:val="B01A40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BD941EC"/>
    <w:multiLevelType w:val="multilevel"/>
    <w:tmpl w:val="9342D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F75E7D"/>
    <w:multiLevelType w:val="multilevel"/>
    <w:tmpl w:val="4DAAEBA6"/>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35356D7"/>
    <w:multiLevelType w:val="multilevel"/>
    <w:tmpl w:val="99142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8DF4900"/>
    <w:multiLevelType w:val="multilevel"/>
    <w:tmpl w:val="6FB27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A2946D3"/>
    <w:multiLevelType w:val="multilevel"/>
    <w:tmpl w:val="ACB4E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1"/>
  </w:num>
  <w:num w:numId="4">
    <w:abstractNumId w:val="0"/>
  </w:num>
  <w:num w:numId="5">
    <w:abstractNumId w:val="5"/>
  </w:num>
  <w:num w:numId="6">
    <w:abstractNumId w:val="9"/>
  </w:num>
  <w:num w:numId="7">
    <w:abstractNumId w:val="8"/>
  </w:num>
  <w:num w:numId="8">
    <w:abstractNumId w:val="6"/>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913"/>
    <w:rsid w:val="003E2043"/>
    <w:rsid w:val="008E2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E291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E291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291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E2913"/>
    <w:rPr>
      <w:rFonts w:ascii="Times New Roman" w:eastAsia="Times New Roman" w:hAnsi="Times New Roman" w:cs="Times New Roman"/>
      <w:b/>
      <w:bCs/>
      <w:sz w:val="27"/>
      <w:szCs w:val="27"/>
    </w:rPr>
  </w:style>
  <w:style w:type="paragraph" w:styleId="NormalWeb">
    <w:name w:val="Normal (Web)"/>
    <w:basedOn w:val="Normal"/>
    <w:uiPriority w:val="99"/>
    <w:unhideWhenUsed/>
    <w:rsid w:val="008E291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E2913"/>
    <w:rPr>
      <w:b/>
      <w:bCs/>
    </w:rPr>
  </w:style>
  <w:style w:type="character" w:styleId="Hyperlink">
    <w:name w:val="Hyperlink"/>
    <w:basedOn w:val="DefaultParagraphFont"/>
    <w:uiPriority w:val="99"/>
    <w:semiHidden/>
    <w:unhideWhenUsed/>
    <w:rsid w:val="008E2913"/>
    <w:rPr>
      <w:color w:val="0000FF"/>
      <w:u w:val="single"/>
    </w:rPr>
  </w:style>
  <w:style w:type="character" w:customStyle="1" w:styleId="apple-converted-space">
    <w:name w:val="apple-converted-space"/>
    <w:basedOn w:val="DefaultParagraphFont"/>
    <w:rsid w:val="008E2913"/>
  </w:style>
  <w:style w:type="character" w:styleId="Emphasis">
    <w:name w:val="Emphasis"/>
    <w:basedOn w:val="DefaultParagraphFont"/>
    <w:uiPriority w:val="20"/>
    <w:qFormat/>
    <w:rsid w:val="008E291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E291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E291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291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E2913"/>
    <w:rPr>
      <w:rFonts w:ascii="Times New Roman" w:eastAsia="Times New Roman" w:hAnsi="Times New Roman" w:cs="Times New Roman"/>
      <w:b/>
      <w:bCs/>
      <w:sz w:val="27"/>
      <w:szCs w:val="27"/>
    </w:rPr>
  </w:style>
  <w:style w:type="paragraph" w:styleId="NormalWeb">
    <w:name w:val="Normal (Web)"/>
    <w:basedOn w:val="Normal"/>
    <w:uiPriority w:val="99"/>
    <w:unhideWhenUsed/>
    <w:rsid w:val="008E291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E2913"/>
    <w:rPr>
      <w:b/>
      <w:bCs/>
    </w:rPr>
  </w:style>
  <w:style w:type="character" w:styleId="Hyperlink">
    <w:name w:val="Hyperlink"/>
    <w:basedOn w:val="DefaultParagraphFont"/>
    <w:uiPriority w:val="99"/>
    <w:semiHidden/>
    <w:unhideWhenUsed/>
    <w:rsid w:val="008E2913"/>
    <w:rPr>
      <w:color w:val="0000FF"/>
      <w:u w:val="single"/>
    </w:rPr>
  </w:style>
  <w:style w:type="character" w:customStyle="1" w:styleId="apple-converted-space">
    <w:name w:val="apple-converted-space"/>
    <w:basedOn w:val="DefaultParagraphFont"/>
    <w:rsid w:val="008E2913"/>
  </w:style>
  <w:style w:type="character" w:styleId="Emphasis">
    <w:name w:val="Emphasis"/>
    <w:basedOn w:val="DefaultParagraphFont"/>
    <w:uiPriority w:val="20"/>
    <w:qFormat/>
    <w:rsid w:val="008E291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8028819">
      <w:bodyDiv w:val="1"/>
      <w:marLeft w:val="0"/>
      <w:marRight w:val="0"/>
      <w:marTop w:val="0"/>
      <w:marBottom w:val="0"/>
      <w:divBdr>
        <w:top w:val="none" w:sz="0" w:space="0" w:color="auto"/>
        <w:left w:val="none" w:sz="0" w:space="0" w:color="auto"/>
        <w:bottom w:val="none" w:sz="0" w:space="0" w:color="auto"/>
        <w:right w:val="none" w:sz="0" w:space="0" w:color="auto"/>
      </w:divBdr>
      <w:divsChild>
        <w:div w:id="304817890">
          <w:marLeft w:val="0"/>
          <w:marRight w:val="0"/>
          <w:marTop w:val="0"/>
          <w:marBottom w:val="240"/>
          <w:divBdr>
            <w:top w:val="none" w:sz="0" w:space="0" w:color="auto"/>
            <w:left w:val="none" w:sz="0" w:space="0" w:color="auto"/>
            <w:bottom w:val="none" w:sz="0" w:space="0" w:color="auto"/>
            <w:right w:val="none" w:sz="0" w:space="0" w:color="auto"/>
          </w:divBdr>
          <w:divsChild>
            <w:div w:id="2051487665">
              <w:marLeft w:val="0"/>
              <w:marRight w:val="0"/>
              <w:marTop w:val="0"/>
              <w:marBottom w:val="0"/>
              <w:divBdr>
                <w:top w:val="none" w:sz="0" w:space="0" w:color="auto"/>
                <w:left w:val="none" w:sz="0" w:space="0" w:color="auto"/>
                <w:bottom w:val="none" w:sz="0" w:space="0" w:color="auto"/>
                <w:right w:val="none" w:sz="0" w:space="0" w:color="auto"/>
              </w:divBdr>
              <w:divsChild>
                <w:div w:id="2139297893">
                  <w:marLeft w:val="0"/>
                  <w:marRight w:val="0"/>
                  <w:marTop w:val="0"/>
                  <w:marBottom w:val="0"/>
                  <w:divBdr>
                    <w:top w:val="none" w:sz="0" w:space="0" w:color="auto"/>
                    <w:left w:val="none" w:sz="0" w:space="0" w:color="auto"/>
                    <w:bottom w:val="none" w:sz="0" w:space="0" w:color="auto"/>
                    <w:right w:val="none" w:sz="0" w:space="0" w:color="auto"/>
                  </w:divBdr>
                  <w:divsChild>
                    <w:div w:id="1205142281">
                      <w:marLeft w:val="0"/>
                      <w:marRight w:val="0"/>
                      <w:marTop w:val="96"/>
                      <w:marBottom w:val="240"/>
                      <w:divBdr>
                        <w:top w:val="none" w:sz="0" w:space="0" w:color="auto"/>
                        <w:left w:val="none" w:sz="0" w:space="0" w:color="auto"/>
                        <w:bottom w:val="none" w:sz="0" w:space="0" w:color="auto"/>
                        <w:right w:val="none" w:sz="0" w:space="0" w:color="auto"/>
                      </w:divBdr>
                      <w:divsChild>
                        <w:div w:id="949510042">
                          <w:marLeft w:val="0"/>
                          <w:marRight w:val="0"/>
                          <w:marTop w:val="0"/>
                          <w:marBottom w:val="0"/>
                          <w:divBdr>
                            <w:top w:val="none" w:sz="0" w:space="0" w:color="auto"/>
                            <w:left w:val="none" w:sz="0" w:space="0" w:color="auto"/>
                            <w:bottom w:val="none" w:sz="0" w:space="0" w:color="auto"/>
                            <w:right w:val="none" w:sz="0" w:space="0" w:color="auto"/>
                          </w:divBdr>
                          <w:divsChild>
                            <w:div w:id="1478257353">
                              <w:marLeft w:val="0"/>
                              <w:marRight w:val="0"/>
                              <w:marTop w:val="96"/>
                              <w:marBottom w:val="240"/>
                              <w:divBdr>
                                <w:top w:val="none" w:sz="0" w:space="0" w:color="auto"/>
                                <w:left w:val="none" w:sz="0" w:space="0" w:color="auto"/>
                                <w:bottom w:val="none" w:sz="0" w:space="0" w:color="auto"/>
                                <w:right w:val="none" w:sz="0" w:space="0" w:color="auto"/>
                              </w:divBdr>
                              <w:divsChild>
                                <w:div w:id="115028534">
                                  <w:marLeft w:val="0"/>
                                  <w:marRight w:val="0"/>
                                  <w:marTop w:val="0"/>
                                  <w:marBottom w:val="0"/>
                                  <w:divBdr>
                                    <w:top w:val="none" w:sz="0" w:space="0" w:color="auto"/>
                                    <w:left w:val="none" w:sz="0" w:space="0" w:color="auto"/>
                                    <w:bottom w:val="none" w:sz="0" w:space="0" w:color="auto"/>
                                    <w:right w:val="none" w:sz="0" w:space="0" w:color="auto"/>
                                  </w:divBdr>
                                  <w:divsChild>
                                    <w:div w:id="1417242578">
                                      <w:marLeft w:val="0"/>
                                      <w:marRight w:val="0"/>
                                      <w:marTop w:val="0"/>
                                      <w:marBottom w:val="0"/>
                                      <w:divBdr>
                                        <w:top w:val="none" w:sz="0" w:space="0" w:color="auto"/>
                                        <w:left w:val="none" w:sz="0" w:space="0" w:color="auto"/>
                                        <w:bottom w:val="none" w:sz="0" w:space="0" w:color="auto"/>
                                        <w:right w:val="none" w:sz="0" w:space="0" w:color="auto"/>
                                      </w:divBdr>
                                      <w:divsChild>
                                        <w:div w:id="1932272471">
                                          <w:marLeft w:val="0"/>
                                          <w:marRight w:val="0"/>
                                          <w:marTop w:val="0"/>
                                          <w:marBottom w:val="0"/>
                                          <w:divBdr>
                                            <w:top w:val="none" w:sz="0" w:space="0" w:color="auto"/>
                                            <w:left w:val="none" w:sz="0" w:space="0" w:color="auto"/>
                                            <w:bottom w:val="none" w:sz="0" w:space="0" w:color="auto"/>
                                            <w:right w:val="none" w:sz="0" w:space="0" w:color="auto"/>
                                          </w:divBdr>
                                          <w:divsChild>
                                            <w:div w:id="1425372728">
                                              <w:marLeft w:val="0"/>
                                              <w:marRight w:val="0"/>
                                              <w:marTop w:val="0"/>
                                              <w:marBottom w:val="0"/>
                                              <w:divBdr>
                                                <w:top w:val="none" w:sz="0" w:space="0" w:color="auto"/>
                                                <w:left w:val="none" w:sz="0" w:space="0" w:color="auto"/>
                                                <w:bottom w:val="none" w:sz="0" w:space="0" w:color="auto"/>
                                                <w:right w:val="none" w:sz="0" w:space="0" w:color="auto"/>
                                              </w:divBdr>
                                            </w:div>
                                            <w:div w:id="398215516">
                                              <w:blockQuote w:val="1"/>
                                              <w:marLeft w:val="300"/>
                                              <w:marRight w:val="0"/>
                                              <w:marTop w:val="0"/>
                                              <w:marBottom w:val="330"/>
                                              <w:divBdr>
                                                <w:top w:val="none" w:sz="0" w:space="0" w:color="auto"/>
                                                <w:left w:val="none" w:sz="0" w:space="0" w:color="auto"/>
                                                <w:bottom w:val="none" w:sz="0" w:space="0" w:color="auto"/>
                                                <w:right w:val="none" w:sz="0" w:space="0" w:color="auto"/>
                                              </w:divBdr>
                                            </w:div>
                                            <w:div w:id="1754618171">
                                              <w:blockQuote w:val="1"/>
                                              <w:marLeft w:val="300"/>
                                              <w:marRight w:val="0"/>
                                              <w:marTop w:val="0"/>
                                              <w:marBottom w:val="330"/>
                                              <w:divBdr>
                                                <w:top w:val="none" w:sz="0" w:space="0" w:color="auto"/>
                                                <w:left w:val="none" w:sz="0" w:space="0" w:color="auto"/>
                                                <w:bottom w:val="none" w:sz="0" w:space="0" w:color="auto"/>
                                                <w:right w:val="none" w:sz="0" w:space="0" w:color="auto"/>
                                              </w:divBdr>
                                            </w:div>
                                            <w:div w:id="1188249678">
                                              <w:blockQuote w:val="1"/>
                                              <w:marLeft w:val="300"/>
                                              <w:marRight w:val="0"/>
                                              <w:marTop w:val="0"/>
                                              <w:marBottom w:val="330"/>
                                              <w:divBdr>
                                                <w:top w:val="none" w:sz="0" w:space="0" w:color="auto"/>
                                                <w:left w:val="none" w:sz="0" w:space="0" w:color="auto"/>
                                                <w:bottom w:val="none" w:sz="0" w:space="0" w:color="auto"/>
                                                <w:right w:val="none" w:sz="0" w:space="0" w:color="auto"/>
                                              </w:divBdr>
                                            </w:div>
                                            <w:div w:id="399643679">
                                              <w:blockQuote w:val="1"/>
                                              <w:marLeft w:val="300"/>
                                              <w:marRight w:val="0"/>
                                              <w:marTop w:val="0"/>
                                              <w:marBottom w:val="330"/>
                                              <w:divBdr>
                                                <w:top w:val="none" w:sz="0" w:space="0" w:color="auto"/>
                                                <w:left w:val="none" w:sz="0" w:space="0" w:color="auto"/>
                                                <w:bottom w:val="none" w:sz="0" w:space="0" w:color="auto"/>
                                                <w:right w:val="none" w:sz="0" w:space="0" w:color="auto"/>
                                              </w:divBdr>
                                            </w:div>
                                            <w:div w:id="36903778">
                                              <w:blockQuote w:val="1"/>
                                              <w:marLeft w:val="300"/>
                                              <w:marRight w:val="0"/>
                                              <w:marTop w:val="0"/>
                                              <w:marBottom w:val="330"/>
                                              <w:divBdr>
                                                <w:top w:val="none" w:sz="0" w:space="0" w:color="auto"/>
                                                <w:left w:val="none" w:sz="0" w:space="0" w:color="auto"/>
                                                <w:bottom w:val="none" w:sz="0" w:space="0" w:color="auto"/>
                                                <w:right w:val="none" w:sz="0" w:space="0" w:color="auto"/>
                                              </w:divBdr>
                                            </w:div>
                                            <w:div w:id="1974679091">
                                              <w:blockQuote w:val="1"/>
                                              <w:marLeft w:val="300"/>
                                              <w:marRight w:val="0"/>
                                              <w:marTop w:val="0"/>
                                              <w:marBottom w:val="330"/>
                                              <w:divBdr>
                                                <w:top w:val="none" w:sz="0" w:space="0" w:color="auto"/>
                                                <w:left w:val="none" w:sz="0" w:space="0" w:color="auto"/>
                                                <w:bottom w:val="none" w:sz="0" w:space="0" w:color="auto"/>
                                                <w:right w:val="none" w:sz="0" w:space="0" w:color="auto"/>
                                              </w:divBdr>
                                            </w:div>
                                            <w:div w:id="2104061524">
                                              <w:blockQuote w:val="1"/>
                                              <w:marLeft w:val="30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us.edu/departments/controllers-division/policies-procedures/ous-fiscal-policy-manual/moving-expenses" TargetMode="External"/><Relationship Id="rId13" Type="http://schemas.openxmlformats.org/officeDocument/2006/relationships/hyperlink" Target="http://www.ous.edu/departments/controllers-division/policies-procedures/ous-fiscal-policy-manual/moving-expenses" TargetMode="External"/><Relationship Id="rId18" Type="http://schemas.openxmlformats.org/officeDocument/2006/relationships/hyperlink" Target="http://www.ous.edu/departments/controllers-division/policies-procedures/ous-fiscal-policy-manual/moving-expenses" TargetMode="External"/><Relationship Id="rId26" Type="http://schemas.openxmlformats.org/officeDocument/2006/relationships/hyperlink" Target="http://www.irs.gov/" TargetMode="External"/><Relationship Id="rId39" Type="http://schemas.openxmlformats.org/officeDocument/2006/relationships/hyperlink" Target="http://www.ous.edu/departments/controllers-division/policies-procedures/ous-fiscal-policy-manual/moving-expenses" TargetMode="External"/><Relationship Id="rId3" Type="http://schemas.microsoft.com/office/2007/relationships/stylesWithEffects" Target="stylesWithEffects.xml"/><Relationship Id="rId21" Type="http://schemas.openxmlformats.org/officeDocument/2006/relationships/hyperlink" Target="http://www.ous.edu/departments/controllers-division/policies-procedures/ous-fiscal-policy-manual/moving-expenses" TargetMode="External"/><Relationship Id="rId34" Type="http://schemas.openxmlformats.org/officeDocument/2006/relationships/hyperlink" Target="http://www.ous.edu/departments/controllers-division/policies-procedures/ous-fiscal-policy-manual/moving-expenses" TargetMode="External"/><Relationship Id="rId42" Type="http://schemas.openxmlformats.org/officeDocument/2006/relationships/fontTable" Target="fontTable.xml"/><Relationship Id="rId7" Type="http://schemas.openxmlformats.org/officeDocument/2006/relationships/hyperlink" Target="http://www.ous.edu/departments/controllers-division/policies-procedures/ous-fiscal-policy-manual/moving-expenses" TargetMode="External"/><Relationship Id="rId12" Type="http://schemas.openxmlformats.org/officeDocument/2006/relationships/hyperlink" Target="http://www.ous.edu/departments/controllers-division/policies-procedures/ous-fiscal-policy-manual/moving-expenses" TargetMode="External"/><Relationship Id="rId17" Type="http://schemas.openxmlformats.org/officeDocument/2006/relationships/hyperlink" Target="http://www.ous.edu/departments/controllers-division/policies-procedures/ous-fiscal-policy-manual/moving-expenses" TargetMode="External"/><Relationship Id="rId25" Type="http://schemas.openxmlformats.org/officeDocument/2006/relationships/hyperlink" Target="http://www.gsa.gov/" TargetMode="External"/><Relationship Id="rId33" Type="http://schemas.openxmlformats.org/officeDocument/2006/relationships/hyperlink" Target="http://www.ous.edu/departments/controllers-division/policies-procedures/ous-fiscal-policy-manual/moving-expenses" TargetMode="External"/><Relationship Id="rId38" Type="http://schemas.openxmlformats.org/officeDocument/2006/relationships/hyperlink" Target="http://www.ous.edu/departments/controllers-division/policies-procedures/ous-fiscal-policy-manual/frin.66.200.moving_expense_reimb_request.xls" TargetMode="External"/><Relationship Id="rId2" Type="http://schemas.openxmlformats.org/officeDocument/2006/relationships/styles" Target="styles.xml"/><Relationship Id="rId16" Type="http://schemas.openxmlformats.org/officeDocument/2006/relationships/hyperlink" Target="http://www.ous.edu/departments/controllers-division/policies-procedures/ous-fiscal-policy-manual/moving-expenses" TargetMode="External"/><Relationship Id="rId20" Type="http://schemas.openxmlformats.org/officeDocument/2006/relationships/hyperlink" Target="http://www.ous.edu/departments/controllers-division/policies-procedures/ous-fiscal-policy-manual/moving-expenses" TargetMode="External"/><Relationship Id="rId29" Type="http://schemas.openxmlformats.org/officeDocument/2006/relationships/hyperlink" Target="http://www.ous.edu/departments/controllers-division/policies-procedures/ous-fiscal-policy-manual/moving-expenses" TargetMode="External"/><Relationship Id="rId41" Type="http://schemas.openxmlformats.org/officeDocument/2006/relationships/hyperlink" Target="http://www.ous.edu/departments/controllers-division/policies-procedures/ous-fiscal-policy-manual/moving-expenses" TargetMode="External"/><Relationship Id="rId1" Type="http://schemas.openxmlformats.org/officeDocument/2006/relationships/numbering" Target="numbering.xml"/><Relationship Id="rId6" Type="http://schemas.openxmlformats.org/officeDocument/2006/relationships/hyperlink" Target="http://www.ous.edu/departments/controllers-division/policies-procedures/ous-fiscal-policy-manual/moving-expenses" TargetMode="External"/><Relationship Id="rId11" Type="http://schemas.openxmlformats.org/officeDocument/2006/relationships/hyperlink" Target="http://www.ous.edu/departments/controllers-division/policies-procedures/ous-fiscal-policy-manual/moving-expenses" TargetMode="External"/><Relationship Id="rId24" Type="http://schemas.openxmlformats.org/officeDocument/2006/relationships/hyperlink" Target="http://www.oregonsurplus.com/DAS/SCD/SARS/policies/oam/40.10.00.PO.pdf" TargetMode="External"/><Relationship Id="rId32" Type="http://schemas.openxmlformats.org/officeDocument/2006/relationships/hyperlink" Target="http://www.ous.edu/departments/controllers-division/policies-procedures/ous-fiscal-policy-manual/moving-expenses" TargetMode="External"/><Relationship Id="rId37" Type="http://schemas.openxmlformats.org/officeDocument/2006/relationships/hyperlink" Target="http://www.ous.edu/files/cont-div/forms/frin66200moving_expense_summ_table_010114.xls" TargetMode="External"/><Relationship Id="rId40" Type="http://schemas.openxmlformats.org/officeDocument/2006/relationships/hyperlink" Target="http://www.ous.edu/departments/controllers-division/policies-procedures/ous-fiscal-policy-manual/moving-expenses" TargetMode="External"/><Relationship Id="rId5" Type="http://schemas.openxmlformats.org/officeDocument/2006/relationships/webSettings" Target="webSettings.xml"/><Relationship Id="rId15" Type="http://schemas.openxmlformats.org/officeDocument/2006/relationships/hyperlink" Target="http://www.ous.edu/departments/controllers-division/policies-procedures/ous-fiscal-policy-manual/moving-expenses" TargetMode="External"/><Relationship Id="rId23" Type="http://schemas.openxmlformats.org/officeDocument/2006/relationships/hyperlink" Target="http://www.ous.edu/departments/controllers-division/policies-procedures/ous-fiscal-policy-manual/moving-expenses" TargetMode="External"/><Relationship Id="rId28" Type="http://schemas.openxmlformats.org/officeDocument/2006/relationships/hyperlink" Target="http://www.ous.edu/departments/controllers-division/policies-procedures/ous-fiscal-policy-manual/moving-expenses" TargetMode="External"/><Relationship Id="rId36" Type="http://schemas.openxmlformats.org/officeDocument/2006/relationships/hyperlink" Target="http://www.ous.edu/files/cont-div/forms/frin66200moving_expense_summ_table_010113.xlsx" TargetMode="External"/><Relationship Id="rId10" Type="http://schemas.openxmlformats.org/officeDocument/2006/relationships/hyperlink" Target="http://www.ous.edu/departments/controllers-division/policies-procedures/ous-fiscal-policy-manual/moving-expenses" TargetMode="External"/><Relationship Id="rId19" Type="http://schemas.openxmlformats.org/officeDocument/2006/relationships/hyperlink" Target="http://www.ous.edu/departments/controllers-division/policies-procedures/ous-fiscal-policy-manual/moving-expenses" TargetMode="External"/><Relationship Id="rId31" Type="http://schemas.openxmlformats.org/officeDocument/2006/relationships/hyperlink" Target="http://www.ous.edu/departments/controllers-division/policies-procedures/ous-fiscal-policy-manual/moving-expenses" TargetMode="External"/><Relationship Id="rId4" Type="http://schemas.openxmlformats.org/officeDocument/2006/relationships/settings" Target="settings.xml"/><Relationship Id="rId9" Type="http://schemas.openxmlformats.org/officeDocument/2006/relationships/hyperlink" Target="http://www.ous.edu/departments/controllers-division/policies-procedures/ous-fiscal-policy-manual/moving-expenses" TargetMode="External"/><Relationship Id="rId14" Type="http://schemas.openxmlformats.org/officeDocument/2006/relationships/hyperlink" Target="http://www.ous.edu/departments/controllers-division/policies-procedures/ous-fiscal-policy-manual/moving-expenses" TargetMode="External"/><Relationship Id="rId22" Type="http://schemas.openxmlformats.org/officeDocument/2006/relationships/hyperlink" Target="http://www.ous.edu/departments/controllers-division/policies-procedures/ous-fiscal-policy-manual/moving-expenses" TargetMode="External"/><Relationship Id="rId27" Type="http://schemas.openxmlformats.org/officeDocument/2006/relationships/hyperlink" Target="http://www.ous.edu/departments/controllers-division/policies-procedures/ous-fiscal-policy-manual/moving-expenses" TargetMode="External"/><Relationship Id="rId30" Type="http://schemas.openxmlformats.org/officeDocument/2006/relationships/hyperlink" Target="http://www.ous.edu/departments/controllers-division/policies-procedures/ous-fiscal-policy-manual/moving-expenses" TargetMode="External"/><Relationship Id="rId35" Type="http://schemas.openxmlformats.org/officeDocument/2006/relationships/hyperlink" Target="http://www.ous.edu/departments/controllers-division/policies-procedures/ous-fiscal-policy-manual/moving-expenses"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2666</Words>
  <Characters>15201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EOU</Company>
  <LinksUpToDate>false</LinksUpToDate>
  <CharactersWithSpaces>17832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Cora Beach</dc:creator>
  <cp:lastModifiedBy>Cora Beach</cp:lastModifiedBy>
  <cp:revision>1</cp:revision>
  <dcterms:created xsi:type="dcterms:W3CDTF">2014-10-29T18:14:00Z</dcterms:created>
  <dcterms:modified xsi:type="dcterms:W3CDTF">2014-10-29T18:14:00Z</dcterms:modified>
</cp:coreProperties>
</file>